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0" w:leftChars="0" w:right="-17" w:firstLine="0" w:firstLineChars="0"/>
        <w:jc w:val="center"/>
        <w:rPr>
          <w:rFonts w:ascii="Arial" w:hAnsi="Arial" w:cs="Arial"/>
          <w:b/>
        </w:rPr>
      </w:pPr>
      <w:bookmarkStart w:id="0" w:name="_Hlk142658039"/>
      <w:r>
        <w:rPr>
          <w:rFonts w:ascii="Arial" w:hAnsi="Arial" w:cs="Arial"/>
          <w:b/>
        </w:rPr>
        <w:t>ANEXO VII</w:t>
      </w:r>
    </w:p>
    <w:p>
      <w:pPr>
        <w:ind w:left="426" w:right="-17"/>
        <w:jc w:val="center"/>
        <w:rPr>
          <w:rFonts w:ascii="Arial" w:hAnsi="Arial" w:cs="Arial"/>
          <w:b/>
        </w:rPr>
      </w:pPr>
    </w:p>
    <w:p>
      <w:pPr>
        <w:ind w:left="426" w:right="-17"/>
        <w:jc w:val="center"/>
        <w:rPr>
          <w:rFonts w:ascii="Arial" w:hAnsi="Arial" w:cs="Arial"/>
          <w:b/>
        </w:rPr>
      </w:pPr>
      <w:r>
        <w:rPr>
          <w:rFonts w:ascii="Arial" w:hAnsi="Arial" w:cs="Arial"/>
          <w:b/>
        </w:rPr>
        <w:t xml:space="preserve">MINUTA DE TERMO DE CONTRATO DE </w:t>
      </w:r>
      <w:bookmarkEnd w:id="0"/>
      <w:r>
        <w:rPr>
          <w:rFonts w:ascii="Arial" w:hAnsi="Arial" w:cs="Arial"/>
          <w:b/>
        </w:rPr>
        <w:t>COMPRA</w:t>
      </w:r>
    </w:p>
    <w:p>
      <w:pPr>
        <w:ind w:left="426" w:right="-17"/>
        <w:jc w:val="center"/>
        <w:rPr>
          <w:rFonts w:ascii="Arial" w:hAnsi="Arial" w:cs="Arial"/>
          <w:b/>
        </w:rPr>
      </w:pPr>
    </w:p>
    <w:p>
      <w:pPr>
        <w:ind w:left="4253" w:right="-17"/>
        <w:jc w:val="both"/>
        <w:rPr>
          <w:rFonts w:ascii="Arial" w:hAnsi="Arial" w:cs="Arial"/>
          <w:b/>
        </w:rPr>
      </w:pPr>
    </w:p>
    <w:p>
      <w:pPr>
        <w:ind w:left="4253" w:right="-17"/>
        <w:jc w:val="both"/>
        <w:rPr>
          <w:rFonts w:ascii="Arial" w:hAnsi="Arial" w:cs="Arial"/>
          <w:b/>
        </w:rPr>
      </w:pPr>
      <w:r>
        <w:rPr>
          <w:rFonts w:ascii="Arial" w:hAnsi="Arial" w:cs="Arial"/>
          <w:b/>
        </w:rPr>
        <w:t xml:space="preserve">CONTRATO ADMINISTRATIVO </w:t>
      </w:r>
      <w:bookmarkStart w:id="1" w:name="_Hlk142658004"/>
      <w:r>
        <w:rPr>
          <w:rFonts w:ascii="Arial" w:hAnsi="Arial" w:cs="Arial"/>
          <w:b/>
        </w:rPr>
        <w:t xml:space="preserve">Nº ......../...., </w:t>
      </w:r>
      <w:bookmarkStart w:id="2" w:name="_Hlk142657986"/>
      <w:r>
        <w:rPr>
          <w:rFonts w:ascii="Arial" w:hAnsi="Arial" w:cs="Arial"/>
          <w:b/>
        </w:rPr>
        <w:t>QUE FAZEM ENTRE SI O MUNICÍPIO DE NOVA FRIBURGO E A EMPRESA</w:t>
      </w:r>
      <w:bookmarkEnd w:id="2"/>
      <w:r>
        <w:rPr>
          <w:rFonts w:ascii="Arial" w:hAnsi="Arial" w:cs="Arial"/>
          <w:b/>
        </w:rPr>
        <w:t xml:space="preserve">............................................... </w:t>
      </w:r>
    </w:p>
    <w:p>
      <w:pPr>
        <w:spacing w:line="276" w:lineRule="auto"/>
        <w:ind w:left="5103" w:right="-17"/>
        <w:jc w:val="both"/>
        <w:rPr>
          <w:rFonts w:ascii="Arial" w:hAnsi="Arial" w:cs="Arial"/>
          <w:b/>
        </w:rPr>
      </w:pPr>
    </w:p>
    <w:bookmarkEnd w:id="1"/>
    <w:p>
      <w:pPr>
        <w:spacing w:after="0"/>
        <w:jc w:val="both"/>
        <w:rPr>
          <w:rFonts w:ascii="Arial" w:hAnsi="Arial" w:cs="Arial"/>
          <w:sz w:val="22"/>
          <w:szCs w:val="22"/>
        </w:rPr>
      </w:pPr>
      <w:r>
        <w:rPr>
          <w:rFonts w:ascii="Arial" w:hAnsi="Arial" w:cs="Arial"/>
          <w:sz w:val="22"/>
          <w:szCs w:val="22"/>
        </w:rPr>
        <w:t xml:space="preserve">O MUNICÍPIO DE NOVA FRIBURGO, com sede na Avenida Alberto Braune, 225 - Centro, na cidade de Nova Friburgo / RJ, inscrito(a) no CNPJ sob o nº 28.606.630/0001-23, neste ato representado(a) pelo(a) Exmo. Senhor Prefeito Municipal JOHNNY MAYCON CORDEIRO RIBEIRO, </w:t>
      </w:r>
      <w:r>
        <w:rPr>
          <w:rFonts w:ascii="Arial" w:hAnsi="Arial" w:cs="Arial"/>
          <w:sz w:val="22"/>
          <w:szCs w:val="22"/>
          <w:lang w:val="pt-PT"/>
        </w:rPr>
        <w:t>nomeado(a) pela Portaria nº ......, de ..... de ..................... de 20..., publicada no</w:t>
      </w:r>
      <w:r>
        <w:rPr>
          <w:rFonts w:ascii="Arial" w:hAnsi="Arial" w:cs="Arial"/>
          <w:i/>
          <w:iCs/>
          <w:sz w:val="22"/>
          <w:szCs w:val="22"/>
          <w:lang w:val="pt-PT"/>
        </w:rPr>
        <w:t xml:space="preserve"> DOENF </w:t>
      </w:r>
      <w:r>
        <w:rPr>
          <w:rFonts w:ascii="Arial" w:hAnsi="Arial" w:cs="Arial"/>
          <w:sz w:val="22"/>
          <w:szCs w:val="22"/>
          <w:lang w:val="pt-PT"/>
        </w:rPr>
        <w:t xml:space="preserve">de ..... de ............... de ..........., portador da Matrícula Funcional nº .........., </w:t>
      </w:r>
      <w:r>
        <w:rPr>
          <w:rFonts w:ascii="Arial" w:hAnsi="Arial" w:cs="Arial"/>
          <w:sz w:val="22"/>
          <w:szCs w:val="22"/>
        </w:rPr>
        <w:t xml:space="preserve">inscrito no CPF sob o nº </w:t>
      </w:r>
      <w:r>
        <w:rPr>
          <w:rFonts w:ascii="Arial" w:hAnsi="Arial" w:cs="Arial"/>
          <w:bCs/>
          <w:sz w:val="22"/>
          <w:szCs w:val="22"/>
        </w:rPr>
        <w:t>.........................................,</w:t>
      </w:r>
      <w:r>
        <w:rPr>
          <w:rFonts w:ascii="Arial" w:hAnsi="Arial" w:cs="Arial"/>
          <w:sz w:val="22"/>
          <w:szCs w:val="22"/>
        </w:rPr>
        <w:t xml:space="preserve"> doravante denominado CONTRATANTE, e o(a) .............................. inscrito(a) no CNPJ/MF sob o nº ............................, sediado(a) na ..................................., doravante designada CONTRATADO, neste ato representado(a)  por .....................</w:t>
      </w:r>
      <w:r>
        <w:rPr>
          <w:rFonts w:ascii="Arial" w:hAnsi="Arial" w:cs="Arial"/>
          <w:sz w:val="22"/>
          <w:szCs w:val="22"/>
          <w:lang w:val="pt-PT"/>
        </w:rPr>
        <w:t xml:space="preserve"> (nome e função no contratado)</w:t>
      </w:r>
      <w:r>
        <w:rPr>
          <w:rFonts w:ascii="Arial" w:hAnsi="Arial" w:cs="Arial"/>
          <w:sz w:val="22"/>
          <w:szCs w:val="22"/>
        </w:rPr>
        <w:t xml:space="preserve">, portador(a) da Carteira de Identidade nº ................., expedida pela (o) .................., e CPF nº ........................., </w:t>
      </w:r>
      <w:r>
        <w:rPr>
          <w:rFonts w:ascii="Arial" w:hAnsi="Arial" w:cs="Arial"/>
          <w:i/>
          <w:iCs/>
          <w:sz w:val="22"/>
          <w:szCs w:val="22"/>
          <w:lang w:val="pt-PT"/>
        </w:rPr>
        <w:t xml:space="preserve">conforme atos constitutivos da empresa </w:t>
      </w:r>
      <w:r>
        <w:rPr>
          <w:rFonts w:ascii="Arial" w:hAnsi="Arial" w:cs="Arial"/>
          <w:b/>
          <w:bCs/>
          <w:i/>
          <w:iCs/>
          <w:sz w:val="22"/>
          <w:szCs w:val="22"/>
          <w:lang w:val="pt-PT"/>
        </w:rPr>
        <w:t>OU</w:t>
      </w:r>
      <w:r>
        <w:rPr>
          <w:rFonts w:ascii="Arial" w:hAnsi="Arial" w:cs="Arial"/>
          <w:i/>
          <w:iCs/>
          <w:sz w:val="22"/>
          <w:szCs w:val="22"/>
          <w:lang w:val="pt-PT"/>
        </w:rPr>
        <w:t xml:space="preserve"> procuração apresentada nos autos</w:t>
      </w:r>
      <w:r>
        <w:rPr>
          <w:rFonts w:ascii="Arial" w:hAnsi="Arial" w:cs="Arial"/>
          <w:sz w:val="22"/>
          <w:szCs w:val="22"/>
        </w:rPr>
        <w:t xml:space="preserve"> tendo em vista o que consta no </w:t>
      </w:r>
      <w:r>
        <w:rPr>
          <w:rFonts w:ascii="Arial" w:hAnsi="Arial" w:cs="Arial"/>
          <w:b/>
          <w:bCs/>
          <w:sz w:val="22"/>
          <w:szCs w:val="22"/>
        </w:rPr>
        <w:t xml:space="preserve">Processo Administrativo </w:t>
      </w:r>
      <w:r>
        <w:rPr>
          <w:rFonts w:ascii="Arial" w:hAnsi="Arial" w:cs="Arial"/>
          <w:b/>
          <w:bCs/>
          <w:sz w:val="22"/>
          <w:szCs w:val="22"/>
          <w:highlight w:val="none"/>
        </w:rPr>
        <w:t xml:space="preserve">nº </w:t>
      </w:r>
      <w:r>
        <w:rPr>
          <w:rFonts w:hint="default" w:ascii="Arial" w:hAnsi="Arial" w:cs="Arial"/>
          <w:b/>
          <w:bCs/>
          <w:sz w:val="22"/>
          <w:szCs w:val="22"/>
          <w:highlight w:val="none"/>
          <w:lang w:val="pt-BR"/>
        </w:rPr>
        <w:t>5.976/2026</w:t>
      </w:r>
      <w:r>
        <w:rPr>
          <w:rFonts w:ascii="Arial" w:hAnsi="Arial" w:cs="Arial"/>
          <w:b/>
          <w:bCs/>
          <w:sz w:val="22"/>
          <w:szCs w:val="22"/>
          <w:highlight w:val="none"/>
        </w:rPr>
        <w:t>,</w:t>
      </w:r>
      <w:r>
        <w:rPr>
          <w:rFonts w:hint="default" w:ascii="Arial" w:hAnsi="Arial" w:cs="Arial"/>
          <w:b/>
          <w:bCs/>
          <w:sz w:val="22"/>
          <w:szCs w:val="22"/>
          <w:highlight w:val="none"/>
          <w:lang w:val="pt-BR"/>
        </w:rPr>
        <w:t xml:space="preserve"> </w:t>
      </w:r>
      <w:r>
        <w:rPr>
          <w:rFonts w:hint="default" w:ascii="Azo Sans Md" w:hAnsi="Azo Sans Md"/>
          <w:b/>
          <w:bCs/>
          <w:color w:val="000000"/>
          <w:szCs w:val="24"/>
          <w:lang w:val="pt-BR"/>
        </w:rPr>
        <w:t>ID INTERNO Nº 90.070/2026</w:t>
      </w:r>
      <w:r>
        <w:rPr>
          <w:rFonts w:hint="default" w:ascii="Azo Sans Md" w:hAnsi="Azo Sans Md"/>
          <w:b w:val="0"/>
          <w:bCs w:val="0"/>
          <w:color w:val="000000"/>
          <w:szCs w:val="24"/>
          <w:lang w:val="pt-BR"/>
        </w:rPr>
        <w:t>,</w:t>
      </w:r>
      <w:r>
        <w:rPr>
          <w:rFonts w:ascii="Arial" w:hAnsi="Arial" w:cs="Arial"/>
          <w:b w:val="0"/>
          <w:bCs w:val="0"/>
          <w:sz w:val="22"/>
          <w:szCs w:val="22"/>
        </w:rPr>
        <w:t xml:space="preserve"> </w:t>
      </w:r>
      <w:r>
        <w:rPr>
          <w:rFonts w:ascii="Arial" w:hAnsi="Arial" w:cs="Arial"/>
          <w:sz w:val="22"/>
          <w:szCs w:val="22"/>
        </w:rPr>
        <w:t xml:space="preserve">e em observância às disposições da Lei nº 14.133, de 1º de abril de 2021 </w:t>
      </w:r>
      <w:r>
        <w:rPr>
          <w:rFonts w:ascii="Arial" w:hAnsi="Arial" w:cs="Arial"/>
          <w:sz w:val="22"/>
          <w:szCs w:val="22"/>
          <w:lang w:val="pt-PT"/>
        </w:rPr>
        <w:t>e demais legislações aplicáveis</w:t>
      </w:r>
      <w:r>
        <w:rPr>
          <w:rFonts w:ascii="Arial" w:hAnsi="Arial" w:cs="Arial"/>
          <w:sz w:val="22"/>
          <w:szCs w:val="22"/>
        </w:rPr>
        <w:t>,</w:t>
      </w:r>
      <w:r>
        <w:rPr>
          <w:rFonts w:ascii="Arial" w:hAnsi="Arial" w:cs="Arial"/>
          <w:i/>
          <w:sz w:val="22"/>
          <w:szCs w:val="22"/>
        </w:rPr>
        <w:t xml:space="preserve"> </w:t>
      </w:r>
      <w:r>
        <w:rPr>
          <w:rFonts w:ascii="Arial" w:hAnsi="Arial" w:cs="Arial"/>
          <w:sz w:val="22"/>
          <w:szCs w:val="22"/>
        </w:rPr>
        <w:t xml:space="preserve">resolvem celebrar o presente Termo de Contrato, decorrente do </w:t>
      </w:r>
      <w:r>
        <w:rPr>
          <w:rFonts w:ascii="Arial" w:hAnsi="Arial" w:cs="Arial"/>
          <w:b/>
          <w:bCs/>
          <w:sz w:val="22"/>
          <w:szCs w:val="22"/>
          <w:highlight w:val="none"/>
        </w:rPr>
        <w:t xml:space="preserve">Pregão Eletrônico nº </w:t>
      </w:r>
      <w:r>
        <w:rPr>
          <w:rFonts w:hint="default" w:ascii="Arial" w:hAnsi="Arial" w:cs="Arial"/>
          <w:b/>
          <w:bCs/>
          <w:sz w:val="22"/>
          <w:szCs w:val="22"/>
          <w:highlight w:val="none"/>
          <w:lang w:val="pt-BR"/>
        </w:rPr>
        <w:t>34/2</w:t>
      </w:r>
      <w:bookmarkStart w:id="16" w:name="_GoBack"/>
      <w:bookmarkEnd w:id="16"/>
      <w:r>
        <w:rPr>
          <w:rFonts w:hint="default" w:ascii="Arial" w:hAnsi="Arial" w:cs="Arial"/>
          <w:b/>
          <w:bCs/>
          <w:sz w:val="22"/>
          <w:szCs w:val="22"/>
          <w:highlight w:val="none"/>
          <w:lang w:val="pt-BR"/>
        </w:rPr>
        <w:t>026</w:t>
      </w:r>
      <w:r>
        <w:rPr>
          <w:rFonts w:ascii="Arial" w:hAnsi="Arial" w:cs="Arial"/>
          <w:sz w:val="22"/>
          <w:szCs w:val="22"/>
          <w:highlight w:val="none"/>
        </w:rPr>
        <w:t xml:space="preserve">, </w:t>
      </w:r>
      <w:r>
        <w:rPr>
          <w:rFonts w:ascii="Arial" w:hAnsi="Arial" w:cs="Arial"/>
          <w:sz w:val="22"/>
          <w:szCs w:val="22"/>
        </w:rPr>
        <w:t>mediante as cláusulas e condições a seguir enunciadas.</w:t>
      </w:r>
    </w:p>
    <w:p>
      <w:pPr>
        <w:pStyle w:val="19"/>
        <w:numPr>
          <w:ilvl w:val="0"/>
          <w:numId w:val="3"/>
        </w:numPr>
        <w:tabs>
          <w:tab w:val="left" w:pos="284"/>
        </w:tabs>
        <w:spacing w:line="276" w:lineRule="auto"/>
        <w:jc w:val="both"/>
        <w:rPr>
          <w:rFonts w:ascii="Arial" w:hAnsi="Arial" w:cs="Arial" w:eastAsiaTheme="majorEastAsia"/>
          <w:b/>
          <w:bCs/>
          <w:lang w:val="pt-BR" w:eastAsia="pt-BR"/>
        </w:rPr>
      </w:pPr>
      <w:r>
        <w:rPr>
          <w:rFonts w:ascii="Arial" w:hAnsi="Arial" w:cs="Arial" w:eastAsiaTheme="majorEastAsia"/>
          <w:b/>
          <w:bCs/>
          <w:lang w:val="pt-BR" w:eastAsia="pt-BR"/>
        </w:rPr>
        <w:t>CLÁUSULA PRIMEIRA – OBJETO (art. 92, I e II)</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 O objeto do presente instrumento é a contratação de</w:t>
      </w:r>
      <w:r>
        <w:rPr>
          <w:rFonts w:hint="default" w:ascii="Arial" w:hAnsi="Arial" w:cs="Arial"/>
          <w:bCs/>
          <w:iCs/>
        </w:rPr>
        <w:t xml:space="preserve"> </w:t>
      </w:r>
      <w:r>
        <w:rPr>
          <w:rFonts w:hint="default" w:ascii="Arial" w:hAnsi="Arial" w:cs="Arial"/>
          <w:b/>
          <w:bCs w:val="0"/>
          <w:iCs/>
        </w:rPr>
        <w:t>EMPRESA ESPECIALIZADA PARA O FORNECIMENTO</w:t>
      </w:r>
      <w:r>
        <w:rPr>
          <w:rFonts w:hint="default" w:ascii="Arial" w:hAnsi="Arial" w:cs="Arial"/>
          <w:b/>
          <w:bCs w:val="0"/>
          <w:iCs/>
          <w:lang w:val="pt-BR"/>
        </w:rPr>
        <w:t xml:space="preserve"> DE CIMENTO ASFÁLTICO DE PETRÓLEO (CAP 50/70), </w:t>
      </w:r>
      <w:r>
        <w:rPr>
          <w:rFonts w:hint="default" w:ascii="Arial" w:hAnsi="Arial" w:cs="Arial"/>
          <w:b/>
          <w:bCs w:val="0"/>
          <w:iCs/>
        </w:rPr>
        <w:t>PARA ATENDER AS NECESSIDADES DA SECRETARIA DE INFRAESTRUTURA E OBRAS</w:t>
      </w:r>
      <w:r>
        <w:rPr>
          <w:rFonts w:ascii="Arial" w:hAnsi="Arial" w:cs="Arial"/>
          <w:bCs/>
          <w:iCs/>
        </w:rPr>
        <w:t>, nas condições estabelecidas no Termo de Referência – Anexo I do edital.</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iCs/>
        </w:rPr>
        <w:t>Objeto da contratação:</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903"/>
        <w:gridCol w:w="1126"/>
        <w:gridCol w:w="2468"/>
        <w:gridCol w:w="992"/>
        <w:gridCol w:w="1083"/>
        <w:gridCol w:w="1559"/>
        <w:gridCol w:w="11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restar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ITEM</w:t>
            </w:r>
          </w:p>
        </w:tc>
        <w:tc>
          <w:tcPr>
            <w:tcW w:w="606" w:type="pct"/>
            <w:vMerge w:val="restart"/>
            <w:shd w:val="clear" w:color="auto" w:fill="D8D8D8"/>
            <w:vAlign w:val="center"/>
          </w:tcPr>
          <w:p>
            <w:pPr>
              <w:pStyle w:val="19"/>
              <w:ind w:left="0"/>
              <w:jc w:val="center"/>
              <w:rPr>
                <w:rFonts w:ascii="Arial" w:hAnsi="Arial" w:cs="Arial"/>
                <w:b/>
              </w:rPr>
            </w:pPr>
            <w:r>
              <w:rPr>
                <w:rFonts w:ascii="Arial" w:hAnsi="Arial" w:cs="Arial"/>
                <w:b/>
              </w:rPr>
              <w:t>CATMAT</w:t>
            </w:r>
          </w:p>
        </w:tc>
        <w:tc>
          <w:tcPr>
            <w:tcW w:w="1328" w:type="pct"/>
            <w:vMerge w:val="restar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ESPECIFICAÇÃO</w:t>
            </w:r>
          </w:p>
        </w:tc>
        <w:tc>
          <w:tcPr>
            <w:tcW w:w="534" w:type="pct"/>
            <w:vMerge w:val="restar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UNID.</w:t>
            </w:r>
          </w:p>
        </w:tc>
        <w:tc>
          <w:tcPr>
            <w:tcW w:w="583" w:type="pct"/>
            <w:vMerge w:val="restar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QTDE.</w:t>
            </w:r>
          </w:p>
        </w:tc>
        <w:tc>
          <w:tcPr>
            <w:tcW w:w="1462" w:type="pct"/>
            <w:gridSpan w:val="2"/>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VALOR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continue"/>
            <w:shd w:val="clear" w:color="auto" w:fill="D8D8D8"/>
            <w:tcMar>
              <w:top w:w="0" w:type="dxa"/>
              <w:left w:w="108" w:type="dxa"/>
              <w:bottom w:w="0" w:type="dxa"/>
              <w:right w:w="108" w:type="dxa"/>
            </w:tcMar>
            <w:vAlign w:val="center"/>
          </w:tcPr>
          <w:p>
            <w:pPr>
              <w:rPr>
                <w:rFonts w:ascii="Arial" w:hAnsi="Arial" w:cs="Arial"/>
              </w:rPr>
            </w:pPr>
          </w:p>
        </w:tc>
        <w:tc>
          <w:tcPr>
            <w:tcW w:w="606" w:type="pct"/>
            <w:vMerge w:val="continue"/>
            <w:shd w:val="clear" w:color="auto" w:fill="D8D8D8"/>
          </w:tcPr>
          <w:p>
            <w:pPr>
              <w:rPr>
                <w:rFonts w:ascii="Arial" w:hAnsi="Arial" w:cs="Arial"/>
              </w:rPr>
            </w:pPr>
          </w:p>
        </w:tc>
        <w:tc>
          <w:tcPr>
            <w:tcW w:w="1328" w:type="pct"/>
            <w:vMerge w:val="continue"/>
            <w:shd w:val="clear" w:color="auto" w:fill="D8D8D8"/>
            <w:tcMar>
              <w:top w:w="0" w:type="dxa"/>
              <w:left w:w="108" w:type="dxa"/>
              <w:bottom w:w="0" w:type="dxa"/>
              <w:right w:w="108" w:type="dxa"/>
            </w:tcMar>
            <w:vAlign w:val="center"/>
          </w:tcPr>
          <w:p>
            <w:pPr>
              <w:rPr>
                <w:rFonts w:ascii="Arial" w:hAnsi="Arial" w:cs="Arial"/>
              </w:rPr>
            </w:pPr>
          </w:p>
        </w:tc>
        <w:tc>
          <w:tcPr>
            <w:tcW w:w="534" w:type="pct"/>
            <w:vMerge w:val="continue"/>
            <w:shd w:val="clear" w:color="auto" w:fill="D8D8D8"/>
            <w:tcMar>
              <w:top w:w="0" w:type="dxa"/>
              <w:left w:w="108" w:type="dxa"/>
              <w:bottom w:w="0" w:type="dxa"/>
              <w:right w:w="108" w:type="dxa"/>
            </w:tcMar>
            <w:vAlign w:val="center"/>
          </w:tcPr>
          <w:p>
            <w:pPr>
              <w:rPr>
                <w:rFonts w:ascii="Arial" w:hAnsi="Arial" w:cs="Arial"/>
              </w:rPr>
            </w:pPr>
          </w:p>
        </w:tc>
        <w:tc>
          <w:tcPr>
            <w:tcW w:w="583" w:type="pct"/>
            <w:vMerge w:val="continue"/>
            <w:shd w:val="clear" w:color="auto" w:fill="D8D8D8"/>
            <w:tcMar>
              <w:top w:w="0" w:type="dxa"/>
              <w:left w:w="108" w:type="dxa"/>
              <w:bottom w:w="0" w:type="dxa"/>
              <w:right w:w="108" w:type="dxa"/>
            </w:tcMar>
            <w:vAlign w:val="center"/>
          </w:tcPr>
          <w:p>
            <w:pPr>
              <w:rPr>
                <w:rFonts w:ascii="Arial" w:hAnsi="Arial" w:cs="Arial"/>
              </w:rPr>
            </w:pPr>
          </w:p>
        </w:tc>
        <w:tc>
          <w:tcPr>
            <w:tcW w:w="839" w:type="pc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UNITÁRIO</w:t>
            </w:r>
          </w:p>
        </w:tc>
        <w:tc>
          <w:tcPr>
            <w:tcW w:w="623" w:type="pc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TOTAL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pPr>
              <w:pStyle w:val="38"/>
              <w:jc w:val="center"/>
              <w:rPr>
                <w:rFonts w:ascii="Arial" w:hAnsi="Arial" w:cs="Arial"/>
                <w:b/>
              </w:rPr>
            </w:pPr>
            <w:r>
              <w:rPr>
                <w:rFonts w:ascii="Arial" w:hAnsi="Arial" w:cs="Arial"/>
                <w:b/>
              </w:rPr>
              <w:t>1</w:t>
            </w:r>
          </w:p>
        </w:tc>
        <w:tc>
          <w:tcPr>
            <w:tcW w:w="606" w:type="pct"/>
          </w:tcPr>
          <w:p>
            <w:pPr>
              <w:pStyle w:val="38"/>
              <w:jc w:val="both"/>
              <w:rPr>
                <w:rFonts w:ascii="Arial" w:hAnsi="Arial" w:cs="Arial"/>
              </w:rPr>
            </w:pPr>
          </w:p>
        </w:tc>
        <w:tc>
          <w:tcPr>
            <w:tcW w:w="1328" w:type="pct"/>
            <w:tcMar>
              <w:top w:w="0" w:type="dxa"/>
              <w:left w:w="108" w:type="dxa"/>
              <w:bottom w:w="0" w:type="dxa"/>
              <w:right w:w="108" w:type="dxa"/>
            </w:tcMar>
            <w:vAlign w:val="center"/>
          </w:tcPr>
          <w:p>
            <w:pPr>
              <w:pStyle w:val="38"/>
              <w:jc w:val="both"/>
              <w:rPr>
                <w:rFonts w:ascii="Arial" w:hAnsi="Arial" w:cs="Arial"/>
              </w:rPr>
            </w:pPr>
          </w:p>
        </w:tc>
        <w:tc>
          <w:tcPr>
            <w:tcW w:w="534" w:type="pct"/>
            <w:tcMar>
              <w:top w:w="0" w:type="dxa"/>
              <w:left w:w="108" w:type="dxa"/>
              <w:bottom w:w="0" w:type="dxa"/>
              <w:right w:w="108" w:type="dxa"/>
            </w:tcMar>
            <w:vAlign w:val="center"/>
          </w:tcPr>
          <w:p>
            <w:pPr>
              <w:pStyle w:val="38"/>
              <w:jc w:val="center"/>
              <w:rPr>
                <w:rFonts w:ascii="Arial" w:hAnsi="Arial" w:cs="Arial"/>
              </w:rPr>
            </w:pPr>
          </w:p>
        </w:tc>
        <w:tc>
          <w:tcPr>
            <w:tcW w:w="583" w:type="pct"/>
            <w:tcMar>
              <w:top w:w="0" w:type="dxa"/>
              <w:left w:w="108" w:type="dxa"/>
              <w:bottom w:w="0" w:type="dxa"/>
              <w:right w:w="108" w:type="dxa"/>
            </w:tcMar>
            <w:vAlign w:val="center"/>
          </w:tcPr>
          <w:p>
            <w:pPr>
              <w:pStyle w:val="38"/>
              <w:jc w:val="center"/>
              <w:rPr>
                <w:rFonts w:ascii="Arial" w:hAnsi="Arial" w:cs="Arial"/>
                <w:b/>
              </w:rPr>
            </w:pPr>
          </w:p>
        </w:tc>
        <w:tc>
          <w:tcPr>
            <w:tcW w:w="839" w:type="pct"/>
            <w:tcMar>
              <w:top w:w="0" w:type="dxa"/>
              <w:left w:w="108" w:type="dxa"/>
              <w:bottom w:w="0" w:type="dxa"/>
              <w:right w:w="108" w:type="dxa"/>
            </w:tcMar>
            <w:vAlign w:val="center"/>
          </w:tcPr>
          <w:p>
            <w:pPr>
              <w:pStyle w:val="38"/>
              <w:spacing w:after="0" w:line="240" w:lineRule="auto"/>
              <w:jc w:val="right"/>
              <w:rPr>
                <w:rFonts w:ascii="Arial" w:hAnsi="Arial" w:cs="Arial"/>
              </w:rPr>
            </w:pPr>
          </w:p>
        </w:tc>
        <w:tc>
          <w:tcPr>
            <w:tcW w:w="623" w:type="pct"/>
            <w:tcMar>
              <w:top w:w="0" w:type="dxa"/>
              <w:left w:w="108" w:type="dxa"/>
              <w:bottom w:w="0" w:type="dxa"/>
              <w:right w:w="108" w:type="dxa"/>
            </w:tcMar>
            <w:vAlign w:val="center"/>
          </w:tcPr>
          <w:p>
            <w:pPr>
              <w:pStyle w:val="38"/>
              <w:spacing w:after="0" w:line="240" w:lineRule="auto"/>
              <w:jc w:val="right"/>
              <w:rPr>
                <w:rFonts w:ascii="Arial" w:hAnsi="Arial"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pPr>
              <w:pStyle w:val="38"/>
              <w:jc w:val="center"/>
              <w:rPr>
                <w:rFonts w:ascii="Arial" w:hAnsi="Arial" w:cs="Arial"/>
                <w:b/>
              </w:rPr>
            </w:pPr>
            <w:r>
              <w:rPr>
                <w:rFonts w:ascii="Arial" w:hAnsi="Arial" w:cs="Arial"/>
                <w:b/>
              </w:rPr>
              <w:t>…</w:t>
            </w:r>
          </w:p>
        </w:tc>
        <w:tc>
          <w:tcPr>
            <w:tcW w:w="606" w:type="pct"/>
          </w:tcPr>
          <w:p>
            <w:pPr>
              <w:pStyle w:val="38"/>
              <w:jc w:val="both"/>
              <w:rPr>
                <w:rFonts w:ascii="Arial" w:hAnsi="Arial" w:cs="Arial"/>
              </w:rPr>
            </w:pPr>
          </w:p>
        </w:tc>
        <w:tc>
          <w:tcPr>
            <w:tcW w:w="1328" w:type="pct"/>
            <w:tcMar>
              <w:top w:w="0" w:type="dxa"/>
              <w:left w:w="108" w:type="dxa"/>
              <w:bottom w:w="0" w:type="dxa"/>
              <w:right w:w="108" w:type="dxa"/>
            </w:tcMar>
            <w:vAlign w:val="center"/>
          </w:tcPr>
          <w:p>
            <w:pPr>
              <w:pStyle w:val="38"/>
              <w:jc w:val="both"/>
              <w:rPr>
                <w:rFonts w:ascii="Arial" w:hAnsi="Arial" w:cs="Arial"/>
              </w:rPr>
            </w:pPr>
          </w:p>
        </w:tc>
        <w:tc>
          <w:tcPr>
            <w:tcW w:w="534" w:type="pct"/>
            <w:tcMar>
              <w:top w:w="0" w:type="dxa"/>
              <w:left w:w="108" w:type="dxa"/>
              <w:bottom w:w="0" w:type="dxa"/>
              <w:right w:w="108" w:type="dxa"/>
            </w:tcMar>
            <w:vAlign w:val="center"/>
          </w:tcPr>
          <w:p>
            <w:pPr>
              <w:pStyle w:val="38"/>
              <w:jc w:val="center"/>
              <w:rPr>
                <w:rFonts w:ascii="Arial" w:hAnsi="Arial" w:cs="Arial"/>
              </w:rPr>
            </w:pPr>
          </w:p>
        </w:tc>
        <w:tc>
          <w:tcPr>
            <w:tcW w:w="583" w:type="pct"/>
            <w:tcMar>
              <w:top w:w="0" w:type="dxa"/>
              <w:left w:w="108" w:type="dxa"/>
              <w:bottom w:w="0" w:type="dxa"/>
              <w:right w:w="108" w:type="dxa"/>
            </w:tcMar>
            <w:vAlign w:val="center"/>
          </w:tcPr>
          <w:p>
            <w:pPr>
              <w:pStyle w:val="38"/>
              <w:jc w:val="center"/>
              <w:rPr>
                <w:rFonts w:ascii="Arial" w:hAnsi="Arial" w:cs="Arial"/>
                <w:b/>
              </w:rPr>
            </w:pPr>
          </w:p>
        </w:tc>
        <w:tc>
          <w:tcPr>
            <w:tcW w:w="839" w:type="pct"/>
            <w:tcMar>
              <w:top w:w="0" w:type="dxa"/>
              <w:left w:w="108" w:type="dxa"/>
              <w:bottom w:w="0" w:type="dxa"/>
              <w:right w:w="108" w:type="dxa"/>
            </w:tcMar>
            <w:vAlign w:val="center"/>
          </w:tcPr>
          <w:p>
            <w:pPr>
              <w:pStyle w:val="38"/>
              <w:spacing w:after="0" w:line="240" w:lineRule="auto"/>
              <w:jc w:val="right"/>
              <w:rPr>
                <w:rFonts w:ascii="Arial" w:hAnsi="Arial" w:cs="Arial"/>
              </w:rPr>
            </w:pPr>
          </w:p>
        </w:tc>
        <w:tc>
          <w:tcPr>
            <w:tcW w:w="623" w:type="pct"/>
            <w:tcMar>
              <w:top w:w="0" w:type="dxa"/>
              <w:left w:w="108" w:type="dxa"/>
              <w:bottom w:w="0" w:type="dxa"/>
              <w:right w:w="108" w:type="dxa"/>
            </w:tcMar>
            <w:vAlign w:val="center"/>
          </w:tcPr>
          <w:p>
            <w:pPr>
              <w:pStyle w:val="38"/>
              <w:spacing w:after="0" w:line="240" w:lineRule="auto"/>
              <w:jc w:val="right"/>
              <w:rPr>
                <w:rFonts w:ascii="Arial" w:hAnsi="Arial" w:cs="Arial"/>
                <w:b/>
                <w:bCs/>
              </w:rPr>
            </w:pPr>
          </w:p>
        </w:tc>
      </w:tr>
    </w:tbl>
    <w:p>
      <w:pPr>
        <w:pStyle w:val="19"/>
        <w:widowControl/>
        <w:tabs>
          <w:tab w:val="left" w:pos="426"/>
        </w:tabs>
        <w:autoSpaceDE/>
        <w:autoSpaceDN/>
        <w:spacing w:before="120" w:after="120" w:line="276" w:lineRule="auto"/>
        <w:ind w:left="0"/>
        <w:jc w:val="both"/>
        <w:rPr>
          <w:rFonts w:ascii="Arial" w:hAnsi="Arial" w:cs="Arial"/>
          <w:iCs/>
        </w:rPr>
      </w:pPr>
    </w:p>
    <w:p>
      <w:pPr>
        <w:pStyle w:val="19"/>
        <w:widowControl/>
        <w:numPr>
          <w:ilvl w:val="1"/>
          <w:numId w:val="3"/>
        </w:numPr>
        <w:tabs>
          <w:tab w:val="left" w:pos="426"/>
        </w:tabs>
        <w:autoSpaceDE/>
        <w:autoSpaceDN/>
        <w:spacing w:before="120" w:after="120" w:line="276" w:lineRule="auto"/>
        <w:ind w:left="0" w:firstLine="0"/>
        <w:jc w:val="both"/>
        <w:rPr>
          <w:rFonts w:ascii="Arial" w:hAnsi="Arial" w:cs="Arial"/>
          <w:iCs/>
        </w:rPr>
      </w:pPr>
      <w:r>
        <w:rPr>
          <w:rFonts w:ascii="Arial" w:hAnsi="Arial" w:cs="Arial"/>
          <w:iCs/>
        </w:rPr>
        <w:t>Vinculam esta contratação, independentemente de transcrição:</w:t>
      </w:r>
    </w:p>
    <w:p>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Termo de Referência;</w:t>
      </w:r>
    </w:p>
    <w:p>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Edital da Licitação;</w:t>
      </w:r>
    </w:p>
    <w:p>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A Proposta do contratado;</w:t>
      </w:r>
    </w:p>
    <w:p>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Eventuais anexos dos documentos supracitados.</w:t>
      </w:r>
    </w:p>
    <w:p>
      <w:pPr>
        <w:pStyle w:val="19"/>
        <w:widowControl/>
        <w:tabs>
          <w:tab w:val="left" w:pos="426"/>
        </w:tabs>
        <w:autoSpaceDE/>
        <w:autoSpaceDN/>
        <w:spacing w:before="120" w:after="120" w:line="276" w:lineRule="auto"/>
        <w:ind w:left="862"/>
        <w:jc w:val="both"/>
        <w:rPr>
          <w:rFonts w:ascii="Arial" w:hAnsi="Arial" w:cs="Arial"/>
          <w:bCs/>
        </w:rPr>
      </w:pPr>
    </w:p>
    <w:p>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SEGUNDA – VIGÊNCIA E PRORROGAÇÃO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 xml:space="preserve">O prazo de vigência da contratação é de .............................. contados do(a) ............................., prorrogável por até 10 anos, na forma dos </w:t>
      </w:r>
      <w:r>
        <w:rPr>
          <w:color w:val="auto"/>
        </w:rPr>
        <w:fldChar w:fldCharType="begin"/>
      </w:r>
      <w:r>
        <w:rPr>
          <w:color w:val="auto"/>
        </w:rPr>
        <w:instrText xml:space="preserve"> HYPERLINK "http://www.planalto.gov.br/ccivil_03/_ato2019-2022/2021/lei/L14133.htm" \l "art106" </w:instrText>
      </w:r>
      <w:r>
        <w:rPr>
          <w:color w:val="auto"/>
        </w:rPr>
        <w:fldChar w:fldCharType="separate"/>
      </w:r>
      <w:r>
        <w:rPr>
          <w:rFonts w:ascii="Arial" w:hAnsi="Arial" w:cs="Arial"/>
          <w:bCs/>
          <w:iCs/>
          <w:color w:val="auto"/>
        </w:rPr>
        <w:t>artigos 106 e 107 da Lei n° 14.133, de 2021</w:t>
      </w:r>
      <w:r>
        <w:rPr>
          <w:rFonts w:ascii="Arial" w:hAnsi="Arial" w:cs="Arial"/>
          <w:bCs/>
          <w:iCs/>
          <w:color w:val="auto"/>
        </w:rPr>
        <w:fldChar w:fldCharType="end"/>
      </w:r>
      <w:r>
        <w:rPr>
          <w:rFonts w:ascii="Arial" w:hAnsi="Arial" w:cs="Arial"/>
          <w:bCs/>
          <w:iCs/>
          <w:color w:val="auto"/>
        </w:rPr>
        <w:t xml:space="preserve">.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A prorrogação de que trata este item é condicionada ao ateste, pela autoridade competente, de que as condições e os preços permanecem vantajosos para a Administração, permitida a negociação com o contratado.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contratado não tem direito subjetivo à prorrogação contratual.</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A prorrogação de contrato deverá ser promovida mediante celebração de termo aditivo.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contrato não poderá ser prorrogado quando o contratado tiver sido penalizado nas sanções de declaração de inidoneidade ou impedimento de licitar e contratar com poder público, observadas as abrangências de aplicação.</w:t>
      </w:r>
    </w:p>
    <w:p>
      <w:pPr>
        <w:pStyle w:val="19"/>
        <w:widowControl/>
        <w:tabs>
          <w:tab w:val="left" w:pos="426"/>
        </w:tabs>
        <w:autoSpaceDE/>
        <w:autoSpaceDN/>
        <w:spacing w:before="120" w:after="120" w:line="276" w:lineRule="auto"/>
        <w:ind w:left="0"/>
        <w:jc w:val="both"/>
        <w:rPr>
          <w:rFonts w:ascii="Arial" w:hAnsi="Arial" w:cs="Arial"/>
          <w:bCs/>
          <w:iCs/>
          <w:color w:val="FF0000"/>
        </w:rPr>
      </w:pPr>
    </w:p>
    <w:p>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TERCEIRA – MODELOS DE EXECUÇÃO E GESTÃO CONTRATUAIS (art. 92, IV, VII e XVIII)</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 xml:space="preserve">3.1 </w:t>
      </w:r>
      <w:r>
        <w:rPr>
          <w:rFonts w:hint="default" w:ascii="Arial" w:hAnsi="Arial" w:cs="Arial"/>
          <w:bCs/>
          <w:iCs/>
          <w:u w:val="single"/>
          <w:lang w:val="pt-BR"/>
        </w:rPr>
        <w:t xml:space="preserve">MODELO DE EXECUÇÃO DO OBJETO </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 xml:space="preserve">3.1.1 O fornecimento do material será efetuado conforme conveniência e necessidade, a serem determinados pela </w:t>
      </w:r>
      <w:r>
        <w:rPr>
          <w:rFonts w:hint="default" w:ascii="Arial" w:hAnsi="Arial" w:cs="Arial"/>
          <w:b/>
          <w:bCs w:val="0"/>
          <w:iCs/>
          <w:lang w:val="pt-BR"/>
        </w:rPr>
        <w:t>Secretaria de Infraestrutura e Obras</w:t>
      </w:r>
      <w:r>
        <w:rPr>
          <w:rFonts w:hint="default" w:ascii="Arial" w:hAnsi="Arial" w:cs="Arial"/>
          <w:bCs/>
          <w:iCs/>
          <w:lang w:val="pt-BR"/>
        </w:rPr>
        <w:t>, mediante emissão da Nota de Empenho e será orientada através do documento de solicitação enviado a Contratada através de e-mail.</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3.1.2 A entrega será orientada através do documento de solicitação enviado a Contratada através de e-mail.</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 xml:space="preserve">3.1.3 O prazo de entrega será de </w:t>
      </w:r>
      <w:r>
        <w:rPr>
          <w:rFonts w:hint="default" w:ascii="Arial" w:hAnsi="Arial" w:cs="Arial"/>
          <w:b/>
          <w:bCs w:val="0"/>
          <w:iCs/>
          <w:lang w:val="pt-BR"/>
        </w:rPr>
        <w:t>72hs (setenta e duas) horas</w:t>
      </w:r>
      <w:r>
        <w:rPr>
          <w:rFonts w:hint="default" w:ascii="Arial" w:hAnsi="Arial" w:cs="Arial"/>
          <w:bCs/>
          <w:iCs/>
          <w:lang w:val="pt-BR"/>
        </w:rPr>
        <w:t>, contados do dia seguinte ao recebimento da Nota de Empenho ou documento equivalente.</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3.1.4 O material deverá ser entregue (descarregado) na Usina de Asfalto da PMNF, localizado no Alto da Chácara do Paraíso, no Km 2,0 da RJ-150 (Estrada de Amparo) - Nova Friburgo/RJ.</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 xml:space="preserve">3.1.5 A quantidade mínima para cada carregamento será de um caminhão com capacidade de </w:t>
      </w:r>
      <w:r>
        <w:rPr>
          <w:rFonts w:hint="default" w:ascii="Arial" w:hAnsi="Arial" w:cs="Arial"/>
          <w:b/>
          <w:bCs w:val="0"/>
          <w:iCs/>
          <w:lang w:val="pt-BR"/>
        </w:rPr>
        <w:t>25 toneladas.</w:t>
      </w:r>
    </w:p>
    <w:p>
      <w:pPr>
        <w:pStyle w:val="19"/>
        <w:widowControl/>
        <w:tabs>
          <w:tab w:val="left" w:pos="426"/>
        </w:tabs>
        <w:autoSpaceDE/>
        <w:autoSpaceDN/>
        <w:spacing w:before="120" w:after="120" w:line="276" w:lineRule="auto"/>
        <w:ind w:left="0"/>
        <w:jc w:val="both"/>
        <w:rPr>
          <w:rFonts w:hint="default" w:ascii="Arial" w:hAnsi="Arial" w:cs="Arial"/>
          <w:b/>
          <w:bCs w:val="0"/>
          <w:iCs/>
          <w:lang w:val="pt-BR"/>
        </w:rPr>
      </w:pPr>
      <w:r>
        <w:rPr>
          <w:rFonts w:hint="default" w:ascii="Arial" w:hAnsi="Arial" w:cs="Arial"/>
          <w:bCs/>
          <w:iCs/>
          <w:lang w:val="pt-BR"/>
        </w:rPr>
        <w:t xml:space="preserve"> 3.1.6 O horário de entrega deverá ser realizado de</w:t>
      </w:r>
      <w:r>
        <w:rPr>
          <w:rFonts w:hint="default" w:ascii="Arial" w:hAnsi="Arial" w:cs="Arial"/>
          <w:b/>
          <w:bCs w:val="0"/>
          <w:iCs/>
          <w:lang w:val="pt-BR"/>
        </w:rPr>
        <w:t xml:space="preserve"> segunda à sexta-feira de 07:00 às 14:00 horas;</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3.1.7 Caso não seja possível a entrega na data assinalada, a empresa deverá comunicar as razões respectivas com pelo menos 02 (dois) dias de antecedência para que qualquer pleito de prorrogação de prazo seja analisado, ressalvadas situações de caso fortuito e força maior.</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3.1.8 Os bens serão recebidos provisoriamente, de forma sumária, no prazo de 02(dois) dias, pelo(a) responsável pelo acompanhamento e fiscalização do contrato, para efeito de posterior verificação de sua conformidade com as especificações constantes no Termo de Referência e na proposta.</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3.1.9 Os bens poderão ser rejeitados, no todo ou em parte, quando em desacordo com as especificações constantes no Termo de Referência e na proposta, devendo ser substituídos no prazo de 02(dois) dias, a contar da notificação da contratada, às suas custas, sem prejuízo da aplicação das penalidades.</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3.1.10 Os bens poderão ser rejeitados, no todo ou em parte, quando em desacordo com as especificações constantes no Termo de Referência e na proposta, devendo ser substituídos no prazo de 02(dois) dias, a contar da notificação da contratada, às suas custas, sem prejuízo da aplicação das penalidades.</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3.1.11 Os bens serão recebidos definitivamente no prazo de 05 (cinco) dias, contados do recebimento provisório, após a verificação da qualidade e quantidade do material e consequente aceitação mediante termo detalhado.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3.1.12 Na hipótese de a verificação a que se refere o subitem anterior não ser procedida dentro do prazo fixado, reputar-se-á como realizada, consumando-se o recebimento definitivo no dia do esgotamento do prazo.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3.1.13 O recebimento provisório ou definitivo não excluirá a responsabilidade civil pela solidez e pela segurança do serviço nem a responsabilidade ético-profissional pela perfeita execução do contrato.</w:t>
      </w:r>
    </w:p>
    <w:p>
      <w:pPr>
        <w:pStyle w:val="19"/>
        <w:widowControl/>
        <w:tabs>
          <w:tab w:val="left" w:pos="426"/>
        </w:tabs>
        <w:autoSpaceDE/>
        <w:autoSpaceDN/>
        <w:spacing w:before="120" w:after="120" w:line="276" w:lineRule="auto"/>
        <w:ind w:left="0"/>
        <w:jc w:val="both"/>
        <w:rPr>
          <w:rFonts w:hint="default" w:ascii="Arial" w:hAnsi="Arial" w:cs="Arial"/>
          <w:bCs/>
          <w:iCs/>
          <w:u w:val="single"/>
          <w:lang w:val="pt-BR"/>
        </w:rPr>
      </w:pPr>
      <w:r>
        <w:rPr>
          <w:rFonts w:hint="default" w:ascii="Arial" w:hAnsi="Arial" w:cs="Arial"/>
          <w:bCs/>
          <w:iCs/>
          <w:lang w:val="pt-BR"/>
        </w:rPr>
        <w:t xml:space="preserve">3.2 </w:t>
      </w:r>
      <w:r>
        <w:rPr>
          <w:rFonts w:hint="default" w:ascii="Arial" w:hAnsi="Arial" w:cs="Arial"/>
          <w:bCs/>
          <w:iCs/>
          <w:u w:val="single"/>
          <w:lang w:val="pt-BR"/>
        </w:rPr>
        <w:t xml:space="preserve">MODELO DE GESTÃO DO CONTRATO </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3.2.1 O contrato deverá ser executado fielmente pelas partes, de acordo com as cláusulas avençadas e as normas da Lei nº 14.133, de 2021, e cada parte responderá pelas consequências de sua inexecução total ou parcial (Lei nº 14.133/2021, art. 115, caput).</w:t>
      </w:r>
    </w:p>
    <w:p>
      <w:pPr>
        <w:pStyle w:val="19"/>
        <w:widowControl/>
        <w:tabs>
          <w:tab w:val="left" w:pos="426"/>
        </w:tabs>
        <w:autoSpaceDE/>
        <w:autoSpaceDN/>
        <w:spacing w:before="120" w:after="120" w:line="276" w:lineRule="auto"/>
        <w:ind w:left="0"/>
        <w:jc w:val="both"/>
        <w:rPr>
          <w:rFonts w:hint="default" w:ascii="Arial" w:hAnsi="Arial" w:cs="Arial"/>
          <w:bCs/>
          <w:iCs/>
          <w:lang w:val="pt-BR"/>
        </w:rPr>
      </w:pPr>
      <w:bookmarkStart w:id="3" w:name="art115§5"/>
      <w:bookmarkEnd w:id="3"/>
      <w:bookmarkStart w:id="4" w:name="art115§1"/>
      <w:bookmarkEnd w:id="4"/>
      <w:r>
        <w:rPr>
          <w:rFonts w:hint="default" w:ascii="Arial" w:hAnsi="Arial" w:cs="Arial"/>
          <w:bCs/>
          <w:iCs/>
          <w:lang w:val="pt-BR"/>
        </w:rPr>
        <w:t>3.2.2 Em caso de impedimento, ordem de paralisação ou suspensão do contrato, o cronograma de execução será prorrogado automaticamente pelo tempo correspondente, anotadas tais circunstâncias mediante simples apostila (Lei nº 14.133/2021, art. 115, §5º).</w:t>
      </w:r>
    </w:p>
    <w:p>
      <w:pPr>
        <w:pStyle w:val="19"/>
        <w:widowControl/>
        <w:tabs>
          <w:tab w:val="left" w:pos="426"/>
        </w:tabs>
        <w:autoSpaceDE/>
        <w:autoSpaceDN/>
        <w:spacing w:before="120" w:after="120" w:line="276" w:lineRule="auto"/>
        <w:ind w:left="0"/>
        <w:jc w:val="both"/>
        <w:rPr>
          <w:rFonts w:hint="default" w:ascii="Arial" w:hAnsi="Arial" w:cs="Arial"/>
          <w:bCs/>
          <w:iCs/>
          <w:lang w:val="pt-BR"/>
        </w:rPr>
      </w:pPr>
      <w:bookmarkStart w:id="5" w:name="art116"/>
      <w:bookmarkEnd w:id="5"/>
      <w:r>
        <w:rPr>
          <w:rFonts w:hint="default" w:ascii="Arial" w:hAnsi="Arial" w:cs="Arial"/>
          <w:bCs/>
          <w:iCs/>
          <w:lang w:val="pt-BR"/>
        </w:rPr>
        <w:t>3.2.3 A execução do contrato deverá ser acompanhada e fiscalizada pelo(s) fiscal(is) do contrato, ou pelos respectivos substitutos (Lei nº 14.133/2021, art. 117, caput).</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3.2.4 O fiscal do contrato anotará em registro próprio todas as ocorrências relacionadas à execução do contrato, determinando o que for necessário para a regularização das faltas ou dos defeitos observados (Lei nº 14.133/2021, art. 117, §1º).</w:t>
      </w:r>
    </w:p>
    <w:p>
      <w:pPr>
        <w:pStyle w:val="19"/>
        <w:widowControl/>
        <w:tabs>
          <w:tab w:val="left" w:pos="426"/>
        </w:tabs>
        <w:autoSpaceDE/>
        <w:autoSpaceDN/>
        <w:spacing w:before="120" w:after="120" w:line="276" w:lineRule="auto"/>
        <w:ind w:left="0"/>
        <w:jc w:val="both"/>
        <w:rPr>
          <w:rFonts w:hint="default" w:ascii="Arial" w:hAnsi="Arial" w:cs="Arial"/>
          <w:bCs/>
          <w:iCs/>
          <w:lang w:val="pt-BR"/>
        </w:rPr>
      </w:pPr>
      <w:bookmarkStart w:id="6" w:name="art117§2"/>
      <w:bookmarkEnd w:id="6"/>
      <w:r>
        <w:rPr>
          <w:rFonts w:hint="default" w:ascii="Arial" w:hAnsi="Arial" w:cs="Arial"/>
          <w:bCs/>
          <w:iCs/>
          <w:lang w:val="pt-BR"/>
        </w:rPr>
        <w:t>3.2.5 O fiscal do contrato informará a seus superiores, em tempo hábil para a adoção das medidas convenientes, a situação que demandar decisão ou providência que ultrapasse sua competência (Lei nº 14.133/2021, art. 117, §2º).</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3.2.6 O contratado será obrigado a reparar, corrigir, remover, reconstruir ou substituir, a suas expensas, no total ou em parte, o objeto do contrato em que se verificarem vícios, defeitos ou incorreções resultantes de sua execução ou de materiais nela empregados (Lei nº 14.133/2021, art. 119).</w:t>
      </w:r>
    </w:p>
    <w:p>
      <w:pPr>
        <w:pStyle w:val="19"/>
        <w:widowControl/>
        <w:tabs>
          <w:tab w:val="left" w:pos="426"/>
        </w:tabs>
        <w:autoSpaceDE/>
        <w:autoSpaceDN/>
        <w:spacing w:before="120" w:after="120" w:line="276" w:lineRule="auto"/>
        <w:ind w:left="0"/>
        <w:jc w:val="both"/>
        <w:rPr>
          <w:rFonts w:hint="default" w:ascii="Arial" w:hAnsi="Arial" w:cs="Arial"/>
          <w:bCs/>
          <w:iCs/>
          <w:lang w:val="pt-BR"/>
        </w:rPr>
      </w:pPr>
      <w:bookmarkStart w:id="7" w:name="art120"/>
      <w:bookmarkEnd w:id="7"/>
      <w:r>
        <w:rPr>
          <w:rFonts w:hint="default" w:ascii="Arial" w:hAnsi="Arial" w:cs="Arial"/>
          <w:bCs/>
          <w:iCs/>
          <w:lang w:val="pt-BR"/>
        </w:rPr>
        <w:t>3.2.7 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pPr>
        <w:pStyle w:val="19"/>
        <w:widowControl/>
        <w:tabs>
          <w:tab w:val="left" w:pos="426"/>
        </w:tabs>
        <w:autoSpaceDE/>
        <w:autoSpaceDN/>
        <w:spacing w:before="120" w:after="120" w:line="276" w:lineRule="auto"/>
        <w:ind w:left="0"/>
        <w:jc w:val="both"/>
        <w:rPr>
          <w:rFonts w:hint="default" w:ascii="Arial" w:hAnsi="Arial" w:cs="Arial"/>
          <w:bCs/>
          <w:iCs/>
          <w:lang w:val="pt-BR"/>
        </w:rPr>
      </w:pPr>
      <w:bookmarkStart w:id="8" w:name="art121"/>
      <w:bookmarkEnd w:id="8"/>
      <w:r>
        <w:rPr>
          <w:rFonts w:hint="default" w:ascii="Arial" w:hAnsi="Arial" w:cs="Arial"/>
          <w:bCs/>
          <w:iCs/>
          <w:lang w:val="pt-BR"/>
        </w:rPr>
        <w:t>3.2.8 Somente o contratado será responsável pelos encargos trabalhistas, previdenciários, fiscais e comerciais resultantes da execução do contrato (Lei nº 14.133/2021, art. 121, caput).</w:t>
      </w:r>
    </w:p>
    <w:p>
      <w:pPr>
        <w:pStyle w:val="19"/>
        <w:widowControl/>
        <w:tabs>
          <w:tab w:val="left" w:pos="426"/>
        </w:tabs>
        <w:autoSpaceDE/>
        <w:autoSpaceDN/>
        <w:spacing w:before="120" w:after="120" w:line="276" w:lineRule="auto"/>
        <w:ind w:left="0"/>
        <w:jc w:val="both"/>
        <w:rPr>
          <w:rFonts w:hint="default" w:ascii="Arial" w:hAnsi="Arial" w:cs="Arial"/>
          <w:bCs/>
          <w:iCs/>
          <w:lang w:val="pt-BR"/>
        </w:rPr>
      </w:pPr>
      <w:bookmarkStart w:id="9" w:name="art121§1"/>
      <w:bookmarkEnd w:id="9"/>
      <w:r>
        <w:rPr>
          <w:rFonts w:hint="default" w:ascii="Arial" w:hAnsi="Arial" w:cs="Arial"/>
          <w:bCs/>
          <w:iCs/>
          <w:lang w:val="pt-BR"/>
        </w:rPr>
        <w:t>3.2.9 A inadimplência do contratado em relação aos encargos trabalhistas, fiscais e comerciais não transferirá à Administração a responsabilidade pelo seu pagamento e não poderá onerar o objeto do contrato (Lei nº 14.133/2021, art. 121, §1º).</w:t>
      </w:r>
    </w:p>
    <w:p>
      <w:pPr>
        <w:pStyle w:val="19"/>
        <w:widowControl/>
        <w:tabs>
          <w:tab w:val="left" w:pos="426"/>
        </w:tabs>
        <w:autoSpaceDE/>
        <w:autoSpaceDN/>
        <w:spacing w:before="120" w:after="120" w:line="276" w:lineRule="auto"/>
        <w:ind w:left="0"/>
        <w:jc w:val="both"/>
        <w:rPr>
          <w:rFonts w:hint="default" w:ascii="Arial" w:hAnsi="Arial" w:cs="Arial"/>
          <w:bCs/>
          <w:iCs/>
          <w:lang w:val="pt-BR"/>
        </w:rPr>
      </w:pPr>
      <w:bookmarkStart w:id="10" w:name="art122"/>
      <w:bookmarkEnd w:id="10"/>
      <w:bookmarkStart w:id="11" w:name="art122§2"/>
      <w:bookmarkEnd w:id="11"/>
      <w:bookmarkStart w:id="12" w:name="art122§1"/>
      <w:bookmarkEnd w:id="12"/>
      <w:bookmarkStart w:id="13" w:name="art122§3"/>
      <w:bookmarkEnd w:id="13"/>
      <w:bookmarkStart w:id="14" w:name="art123"/>
      <w:bookmarkEnd w:id="14"/>
      <w:r>
        <w:rPr>
          <w:rFonts w:hint="default" w:ascii="Arial" w:hAnsi="Arial" w:cs="Arial"/>
          <w:bCs/>
          <w:iCs/>
          <w:lang w:val="pt-BR"/>
        </w:rPr>
        <w:t>3.2.10 As comunicações entre o órgão ou entidade e a contratada devem ser realizadas por escrito sempre que o ato exigir tal formalidade, admitindo-se, excepcionalmente, o uso de mensagem eletrônica para esse fim.</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3.2.11 O órgão ou entidade poderá convocar representante da empresa para adoção de providências que devam ser cumpridas de imediato.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3.2.12 Serão exigidos a Certidão Negativa de Débito (CND) relativa a Créditos Tributários Federais e à Dívida Ativa da União, o Certificado de Regularidade do FGTS (CRF) e a Certidão Negativa de Débitos Trabalhistas (CNDT), caso esses documentos não estejam regularizados no SICAF.</w:t>
      </w:r>
    </w:p>
    <w:p>
      <w:pPr>
        <w:pStyle w:val="19"/>
        <w:widowControl/>
        <w:tabs>
          <w:tab w:val="left" w:pos="426"/>
        </w:tabs>
        <w:autoSpaceDE/>
        <w:autoSpaceDN/>
        <w:spacing w:before="120" w:after="120" w:line="276" w:lineRule="auto"/>
        <w:ind w:left="0"/>
        <w:jc w:val="both"/>
        <w:rPr>
          <w:rFonts w:hint="default" w:ascii="Arial" w:hAnsi="Arial" w:cs="Arial"/>
          <w:bCs/>
          <w:iCs/>
          <w:lang w:val="pt-BR" w:eastAsia="en-US"/>
        </w:rPr>
      </w:pPr>
      <w:r>
        <w:rPr>
          <w:rFonts w:hint="default" w:ascii="Arial" w:hAnsi="Arial" w:cs="Arial"/>
          <w:bCs/>
          <w:iCs/>
          <w:lang w:val="pt-BR" w:eastAsia="en-US"/>
        </w:rPr>
        <w:t>3.2.13 O acompanhamento, a gestão e a fiscalização da contratação serão exercidos por representantes da Contratante, aos quais competirá dirimir as dúvidas que surgirem no curso da execução do contrato, e de tudo dar ciência à Administração, na forma do disposto no capítulo VI do título III da Lei Federal nº14.133/21.</w:t>
      </w:r>
    </w:p>
    <w:p>
      <w:pPr>
        <w:pStyle w:val="19"/>
        <w:widowControl/>
        <w:tabs>
          <w:tab w:val="left" w:pos="426"/>
        </w:tabs>
        <w:autoSpaceDE/>
        <w:autoSpaceDN/>
        <w:spacing w:before="120" w:after="120" w:line="276" w:lineRule="auto"/>
        <w:ind w:left="0"/>
        <w:jc w:val="both"/>
        <w:rPr>
          <w:rFonts w:hint="default" w:ascii="Arial" w:hAnsi="Arial" w:cs="Arial"/>
          <w:bCs/>
          <w:iCs/>
          <w:lang w:val="pt-BR" w:eastAsia="en-US"/>
        </w:rPr>
      </w:pPr>
      <w:r>
        <w:rPr>
          <w:rFonts w:hint="default" w:ascii="Arial" w:hAnsi="Arial" w:cs="Arial"/>
          <w:bCs/>
          <w:iCs/>
          <w:lang w:val="pt-BR" w:eastAsia="en-US"/>
        </w:rPr>
        <w:t>3.2.14 Para o acompanhamento, gestão e fiscalização da execução do presente contrato, serão designados em momento posterior, antes da execução do objeto, agentes públicos gestor/gestor substituto e fiscal/ fiscal substituto.</w:t>
      </w:r>
    </w:p>
    <w:p>
      <w:pPr>
        <w:pStyle w:val="19"/>
        <w:widowControl/>
        <w:tabs>
          <w:tab w:val="left" w:pos="426"/>
        </w:tabs>
        <w:autoSpaceDE/>
        <w:autoSpaceDN/>
        <w:spacing w:before="120" w:after="120" w:line="276" w:lineRule="auto"/>
        <w:ind w:left="0"/>
        <w:jc w:val="both"/>
        <w:rPr>
          <w:rFonts w:hint="default" w:ascii="Arial" w:hAnsi="Arial" w:cs="Arial"/>
          <w:bCs/>
          <w:iCs/>
          <w:lang w:val="pt-BR" w:eastAsia="en-US"/>
        </w:rPr>
      </w:pPr>
      <w:r>
        <w:rPr>
          <w:rFonts w:hint="default" w:ascii="Arial" w:hAnsi="Arial" w:cs="Arial"/>
          <w:bCs/>
          <w:iCs/>
          <w:lang w:val="pt-BR" w:eastAsia="en-US"/>
        </w:rPr>
        <w:t>3.2.15 O(s) fiscal(is) do contrato anotará em registro próprio todas as ocorrências relacionadas com a execução do contrato, indicando dia, mês e ano, determinando o que for necessário à regularização das faltas observadas e encaminhando os apontamentos à autoridade competente para as providências cabíveis;</w:t>
      </w:r>
    </w:p>
    <w:p>
      <w:pPr>
        <w:pStyle w:val="19"/>
        <w:widowControl/>
        <w:tabs>
          <w:tab w:val="left" w:pos="426"/>
        </w:tabs>
        <w:autoSpaceDE/>
        <w:autoSpaceDN/>
        <w:spacing w:before="120" w:after="120" w:line="276" w:lineRule="auto"/>
        <w:ind w:left="0"/>
        <w:jc w:val="both"/>
        <w:rPr>
          <w:rFonts w:hint="default" w:ascii="Arial" w:hAnsi="Arial" w:cs="Arial"/>
          <w:bCs/>
          <w:iCs/>
          <w:lang w:val="pt-BR" w:eastAsia="en-US"/>
        </w:rPr>
      </w:pPr>
      <w:r>
        <w:rPr>
          <w:rFonts w:hint="default" w:ascii="Arial" w:hAnsi="Arial" w:cs="Arial"/>
          <w:bCs/>
          <w:iCs/>
          <w:lang w:val="pt-BR" w:eastAsia="en-US"/>
        </w:rPr>
        <w:t>3.2.16 O(s) fiscal(is) designado pela Contratante deverá ter a experiência necessária para o acompanhamento e controle da execução dos serviços e do contrato;</w:t>
      </w:r>
    </w:p>
    <w:p>
      <w:pPr>
        <w:pStyle w:val="19"/>
        <w:widowControl/>
        <w:tabs>
          <w:tab w:val="left" w:pos="426"/>
        </w:tabs>
        <w:autoSpaceDE/>
        <w:autoSpaceDN/>
        <w:spacing w:before="120" w:after="120" w:line="276" w:lineRule="auto"/>
        <w:ind w:left="0"/>
        <w:jc w:val="both"/>
        <w:rPr>
          <w:rFonts w:hint="default" w:ascii="Arial" w:hAnsi="Arial" w:cs="Arial"/>
          <w:bCs/>
          <w:iCs/>
          <w:lang w:val="pt-BR" w:eastAsia="en-US"/>
        </w:rPr>
      </w:pPr>
      <w:r>
        <w:rPr>
          <w:rFonts w:hint="default" w:ascii="Arial" w:hAnsi="Arial" w:cs="Arial"/>
          <w:bCs/>
          <w:iCs/>
          <w:lang w:val="pt-BR" w:eastAsia="en-US"/>
        </w:rPr>
        <w:t>3.2.17 A verificação da adequação da prestação do serviço deverá ser realizada com base nos critérios previstos no Termo de Referência;</w:t>
      </w:r>
    </w:p>
    <w:p>
      <w:pPr>
        <w:pStyle w:val="19"/>
        <w:widowControl/>
        <w:tabs>
          <w:tab w:val="left" w:pos="426"/>
        </w:tabs>
        <w:autoSpaceDE/>
        <w:autoSpaceDN/>
        <w:spacing w:before="120" w:after="120" w:line="276" w:lineRule="auto"/>
        <w:ind w:left="0"/>
        <w:jc w:val="both"/>
        <w:rPr>
          <w:rFonts w:hint="default" w:ascii="Arial" w:hAnsi="Arial" w:cs="Arial"/>
          <w:bCs/>
          <w:iCs/>
          <w:lang w:val="pt-BR" w:eastAsia="en-US"/>
        </w:rPr>
      </w:pPr>
      <w:r>
        <w:rPr>
          <w:rFonts w:hint="default" w:ascii="Arial" w:hAnsi="Arial" w:cs="Arial"/>
          <w:bCs/>
          <w:iCs/>
          <w:lang w:val="pt-BR" w:eastAsia="en-US"/>
        </w:rPr>
        <w:t>3.2.18 A fiscalização não exclui nem reduz a responsabilidade da Contratada pelos danos causados à Administração ou a terceiros, decorrentes de sua culpa ou dolo na execução do contrato, não excluindo ou reduzindo essa responsabilidade a fiscalização ou o acompanhamento pelo órgão.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p>
    <w:p>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QUARTA – SUBCONTRATAÇÃO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Não será admitida a subcontratação do objeto contratual.</w:t>
      </w:r>
    </w:p>
    <w:p>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p>
    <w:p>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QUINTA – PREÇO (art. 92, V)</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valor total da contratação é de R$..........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valor acima é meramente estimativo, de forma que os pagamentos devidos ao contratado dependerão dos quantitativos efetivamente fornecidos.</w:t>
      </w:r>
    </w:p>
    <w:p>
      <w:pPr>
        <w:pStyle w:val="19"/>
        <w:widowControl/>
        <w:tabs>
          <w:tab w:val="left" w:pos="426"/>
        </w:tabs>
        <w:autoSpaceDE/>
        <w:autoSpaceDN/>
        <w:spacing w:before="120" w:after="120" w:line="276" w:lineRule="auto"/>
        <w:ind w:left="0"/>
        <w:jc w:val="both"/>
        <w:rPr>
          <w:rFonts w:ascii="Arial" w:hAnsi="Arial" w:cs="Arial"/>
          <w:bCs/>
          <w:i/>
          <w:color w:val="FF0000"/>
        </w:rPr>
      </w:pPr>
    </w:p>
    <w:p>
      <w:pPr>
        <w:pStyle w:val="19"/>
        <w:numPr>
          <w:ilvl w:val="0"/>
          <w:numId w:val="3"/>
        </w:numPr>
        <w:tabs>
          <w:tab w:val="left" w:pos="284"/>
        </w:tabs>
        <w:spacing w:line="276" w:lineRule="auto"/>
        <w:ind w:left="0" w:firstLine="0"/>
        <w:rPr>
          <w:rFonts w:ascii="Arial" w:hAnsi="Arial" w:cs="Arial"/>
          <w:b/>
          <w:bCs/>
        </w:rPr>
      </w:pPr>
      <w:r>
        <w:rPr>
          <w:rFonts w:ascii="Arial" w:hAnsi="Arial" w:cs="Arial" w:eastAsiaTheme="majorEastAsia"/>
          <w:b/>
          <w:bCs/>
          <w:lang w:val="pt-BR" w:eastAsia="pt-BR"/>
        </w:rPr>
        <w:t xml:space="preserve">CLÁUSULA </w:t>
      </w:r>
      <w:r>
        <w:rPr>
          <w:rFonts w:ascii="Arial" w:hAnsi="Arial" w:cs="Arial"/>
          <w:b/>
          <w:bCs/>
        </w:rPr>
        <w:t>SEXTA - PAGAMENTO (art. 92, V e VI)</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 xml:space="preserve">6.1 A Nota Fiscal deverá ser emitida em nome de: </w:t>
      </w:r>
      <w:r>
        <w:rPr>
          <w:rFonts w:hint="default" w:ascii="Arial" w:hAnsi="Arial" w:cs="Arial" w:eastAsiaTheme="majorEastAsia"/>
          <w:b/>
          <w:bCs/>
          <w:lang w:val="en-US" w:eastAsia="pt-BR"/>
        </w:rPr>
        <w:t>MUNICÍPIO DE NOVA FRIBURGO,</w:t>
      </w:r>
      <w:r>
        <w:rPr>
          <w:rFonts w:hint="default" w:ascii="Arial" w:hAnsi="Arial" w:cs="Arial" w:eastAsiaTheme="majorEastAsia"/>
          <w:b w:val="0"/>
          <w:bCs w:val="0"/>
          <w:lang w:val="en-US" w:eastAsia="pt-BR"/>
        </w:rPr>
        <w:t xml:space="preserve"> CNPJ: 28.606.630/0001-23, Endereço: </w:t>
      </w:r>
      <w:r>
        <w:rPr>
          <w:rFonts w:hint="default" w:ascii="Arial" w:hAnsi="Arial" w:cs="Arial" w:eastAsiaTheme="majorEastAsia"/>
          <w:b/>
          <w:bCs/>
          <w:lang w:val="en-US" w:eastAsia="pt-BR"/>
        </w:rPr>
        <w:t>AVENIDA ALBERTO BRAUNE, 225, CENTRO, NOVA FRIBURGO - RJ</w:t>
      </w:r>
      <w:r>
        <w:rPr>
          <w:rFonts w:hint="default" w:ascii="Arial" w:hAnsi="Arial" w:cs="Arial" w:eastAsiaTheme="majorEastAsia"/>
          <w:b w:val="0"/>
          <w:bCs w:val="0"/>
          <w:lang w:val="en-US" w:eastAsia="pt-BR"/>
        </w:rPr>
        <w:t xml:space="preserve">, CEP: </w:t>
      </w:r>
      <w:r>
        <w:rPr>
          <w:rFonts w:hint="default" w:ascii="Arial" w:hAnsi="Arial" w:cs="Arial" w:eastAsiaTheme="majorEastAsia"/>
          <w:b/>
          <w:bCs/>
          <w:lang w:val="en-US" w:eastAsia="pt-BR"/>
        </w:rPr>
        <w:t>28613-001</w:t>
      </w:r>
      <w:r>
        <w:rPr>
          <w:rFonts w:hint="default" w:ascii="Arial" w:hAnsi="Arial" w:cs="Arial" w:eastAsiaTheme="majorEastAsia"/>
          <w:b w:val="0"/>
          <w:bCs w:val="0"/>
          <w:lang w:val="en-US" w:eastAsia="pt-BR"/>
        </w:rPr>
        <w:t>.</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 xml:space="preserve">6.2 O fornecimento do material será efetuado conforme conveniência e necessidade, a serem determinados pela </w:t>
      </w:r>
      <w:r>
        <w:rPr>
          <w:rFonts w:hint="default" w:ascii="Arial" w:hAnsi="Arial" w:cs="Arial" w:eastAsiaTheme="majorEastAsia"/>
          <w:b/>
          <w:bCs/>
          <w:lang w:val="en-US" w:eastAsia="pt-BR"/>
        </w:rPr>
        <w:t>Secretaria de Infraestrutura e Obras</w:t>
      </w:r>
      <w:r>
        <w:rPr>
          <w:rFonts w:hint="default" w:ascii="Arial" w:hAnsi="Arial" w:cs="Arial" w:eastAsiaTheme="majorEastAsia"/>
          <w:b w:val="0"/>
          <w:bCs w:val="0"/>
          <w:lang w:val="en-US" w:eastAsia="pt-BR"/>
        </w:rPr>
        <w:t xml:space="preserve">, mediante emissão da nota de empenho. </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6.3 Será de exclusiva responsabilidade financeira e operacional da empresa contratada a manutenção de equipamentos e de funcionários necessários para entrega do produto;</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6.4</w:t>
      </w:r>
      <w:r>
        <w:rPr>
          <w:rFonts w:hint="default" w:ascii="Arial" w:hAnsi="Arial" w:cs="Arial" w:eastAsiaTheme="majorEastAsia"/>
          <w:b w:val="0"/>
          <w:bCs w:val="0"/>
          <w:u w:val="single"/>
          <w:lang w:val="en-US" w:eastAsia="pt-BR"/>
        </w:rPr>
        <w:t xml:space="preserve"> Da liquidação da despesa:</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 xml:space="preserve">6.4.1 A liquidação será realizada pela Secretaria de Fazenda, a partir do cumprimento das obrigações elencadas no Termo de Referência, em obediência ao Decreto nº 2493, de 07 de novembro de 2023, </w:t>
      </w:r>
      <w:r>
        <w:rPr>
          <w:rFonts w:hint="default" w:ascii="Arial" w:hAnsi="Arial" w:cs="Arial" w:eastAsiaTheme="majorEastAsia"/>
          <w:b w:val="0"/>
          <w:bCs w:val="0"/>
          <w:lang w:val="en-US" w:eastAsia="pt-BR"/>
        </w:rPr>
        <w:fldChar w:fldCharType="begin"/>
      </w:r>
      <w:r>
        <w:rPr>
          <w:rFonts w:hint="default" w:ascii="Arial" w:hAnsi="Arial" w:cs="Arial" w:eastAsiaTheme="majorEastAsia"/>
          <w:b w:val="0"/>
          <w:bCs w:val="0"/>
          <w:lang w:val="en-US" w:eastAsia="pt-BR"/>
        </w:rPr>
        <w:instrText xml:space="preserve"> HYPERLINK "https://pmnf.rj.gov.br/paginas-centralizadas/9_64_Legislacoes.html" </w:instrText>
      </w:r>
      <w:r>
        <w:rPr>
          <w:rFonts w:hint="default" w:ascii="Arial" w:hAnsi="Arial" w:cs="Arial" w:eastAsiaTheme="majorEastAsia"/>
          <w:b w:val="0"/>
          <w:bCs w:val="0"/>
          <w:lang w:val="en-US" w:eastAsia="pt-BR"/>
        </w:rPr>
        <w:fldChar w:fldCharType="separate"/>
      </w:r>
      <w:r>
        <w:rPr>
          <w:rFonts w:hint="default" w:ascii="Arial" w:hAnsi="Arial" w:cs="Arial" w:eastAsiaTheme="majorEastAsia"/>
          <w:b w:val="0"/>
          <w:bCs w:val="0"/>
          <w:lang w:val="en-US" w:eastAsia="pt-BR"/>
        </w:rPr>
        <w:t>https://pmnf.rj.gov.br/paginas-centralizadas/9_64_Legislacoes.html</w:t>
      </w:r>
      <w:r>
        <w:rPr>
          <w:rFonts w:hint="default" w:ascii="Arial" w:hAnsi="Arial" w:cs="Arial" w:eastAsiaTheme="majorEastAsia"/>
          <w:b w:val="0"/>
          <w:bCs w:val="0"/>
          <w:lang w:val="en-US" w:eastAsia="pt-BR"/>
        </w:rPr>
        <w:fldChar w:fldCharType="end"/>
      </w:r>
      <w:r>
        <w:rPr>
          <w:rFonts w:hint="default" w:ascii="Arial" w:hAnsi="Arial" w:cs="Arial" w:eastAsiaTheme="majorEastAsia"/>
          <w:b w:val="0"/>
          <w:bCs w:val="0"/>
          <w:lang w:val="en-US" w:eastAsia="pt-BR"/>
        </w:rPr>
        <w:t>.</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6.4.2 Deverá ser observado no momento da emissão do Documento Fiscal e na liquidação da despesa os dispositivos do Decreto Municipal nº 2480/2023, o qual dispõe sobre a arrecadação do Imposto de Renda incidente na fonte de que trata o art. 157, inciso I, da Constituição Federal, nos pagamentos a pessoas jurídicas efetuados por órgãos, Fundos e Fundação instituída e mantida pelo Município, observando ainda as regras aplicáveis ao Imposto de Renda incidente na fonte estabelecidas pelo art. 64 da Lei Federal nº 9.430, de 27 de dezembro de 1996, e pela Instrução Normativa da Receita Federal do Brasil nº 1.234, de 11 de janeiro de 2012.https://pmnf.rj.gov.br/paginas-centralizadas/9_64_Legislacoes.html</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 xml:space="preserve">6.5 </w:t>
      </w:r>
      <w:r>
        <w:rPr>
          <w:rFonts w:hint="default" w:ascii="Arial" w:hAnsi="Arial" w:cs="Arial" w:eastAsiaTheme="majorEastAsia"/>
          <w:b w:val="0"/>
          <w:bCs w:val="0"/>
          <w:u w:val="single"/>
          <w:lang w:val="en-US" w:eastAsia="pt-BR"/>
        </w:rPr>
        <w:t>Do pagamento da despesa:</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6.5.1 O pagamento será efetuado conforme estabelecido no Decreto Municipal nº 2493, de 07 de novembro de 2023, desde que as certidões listadas abaixo estejam dentro da validade: Negativa de Débitos Trabalhistas; Fazenda Federal – abrange as contribuições sociais; FGTS; PGE – referente à Dívida Ativa Estadual; Municipal – referente ao ISS e Dívida Ativa; Estadual CND – referente ao ICMS.</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6.5.2 Efetuado conforme estabelecido no Decreto Municipal nº 2493, de 07 de novembro de 2023, desde que as certidões listadas abaixo estejam dentro da validade: Negativa de Débitos Trabalhistas; Fazenda Federal – abrange as contribuições sociais; FGTS; PGE – referente à Dívida Ativa Estadual; Municipal – referente ao ISS e Dívida Ativa; Estadual CND – referente ao ICMS.</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 xml:space="preserve">6.5.3 A Nota Fiscal deverá conter a identificação do Banco, número da Agência e da Conta Corrente, para que possibilite o CONTRATANTE efetuar o pagamento do valor devido; </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6.5.4 Na ocorrência de rejeição da(s) Nota(s) Fiscal (s), motivada por erro ou incorreções, o prazo para pagamento estipulado acima passará a ser contado a partir da data de sua reapresentação.</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6.5.5 Consoante o artigo 45 da Lei nº 9.784, de 1999, a Administração Pública poderá, sem a prévia manifestação do interessado, motivadamente, adotar providências acauteladoras, inclusive retendo o pagamento, em caso de risco iminente, como forma de prevenir a ocorrência de dano de difícil ou impossível reparação.</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6.5.6 O pagamento será efetuado pelo Município de Nova Friburgo mediante crédito em conta-corrente da contratada, até o 30º (trigésimo) dia corrido, a contar da atestação da Nota (s) Fiscal(ais) apresentada pela contratada, desde que cumpridas as formalidades legais e contratuais previstas, e de acordo com o Decreto Municipal nº. 2493, de 07 de novembro de 2023.</w:t>
      </w:r>
    </w:p>
    <w:p>
      <w:pPr>
        <w:pStyle w:val="19"/>
        <w:tabs>
          <w:tab w:val="left" w:pos="284"/>
        </w:tabs>
        <w:spacing w:line="276" w:lineRule="auto"/>
        <w:ind w:left="0"/>
        <w:jc w:val="both"/>
        <w:rPr>
          <w:rFonts w:hint="default" w:ascii="Arial" w:hAnsi="Arial" w:cs="Arial" w:eastAsiaTheme="majorEastAsia"/>
          <w:b/>
          <w:bCs/>
          <w:lang w:val="en-US" w:eastAsia="pt-BR"/>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SÉTIMA - REAJUSTE (art. 92, V)</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Os preços inicialmente contratados são fixos e irreajustáveis no prazo de um ano contado da data do orçamento estimado, em __/__/__ (DD/MM/AAAA).</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color w:val="auto"/>
        </w:rPr>
        <w:t xml:space="preserve">Após o interregno de um ano, e independentemente de pedido do contratado, os preços iniciais serão reajustados, mediante a aplicação, pelo contratante, </w:t>
      </w:r>
      <w:r>
        <w:rPr>
          <w:rFonts w:ascii="Arial" w:hAnsi="Arial" w:cs="Arial"/>
          <w:bCs/>
          <w:iCs/>
          <w:color w:val="auto"/>
          <w:lang w:val="pt-BR"/>
        </w:rPr>
        <w:t>do Índice Nacional de Preços ao Consumidor Amplo (IPCA), instituído pelo Instituto</w:t>
      </w:r>
      <w:r>
        <w:rPr>
          <w:rFonts w:ascii="Arial" w:hAnsi="Arial" w:cs="Arial"/>
          <w:bCs/>
          <w:iCs/>
          <w:lang w:val="pt-BR"/>
        </w:rPr>
        <w:t xml:space="preserve"> Brasileiro de Geografia e Estatística (IBGE)</w:t>
      </w:r>
      <w:r>
        <w:rPr>
          <w:rFonts w:ascii="Arial" w:hAnsi="Arial" w:cs="Arial"/>
          <w:bCs/>
          <w:iCs/>
        </w:rPr>
        <w:t>, exclusivamente para as obrigações iniciadas e concluídas após a ocorrência da anualidade.</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Nos reajustes subsequentes ao primeiro, o interregno mínimo de um ano será contado a partir dos efeitos financeiros do último reajuste.</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Nas aferições finais, o(s) índice(s) utilizado(s) para reajuste será(ão), obrigatoriamente, o(s) definitivo(s).</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Caso o(s) índice(s) estabelecido(s) para reajustamento venha(m) a ser extinto(s) ou de qualquer forma não possa(m) mais ser utilizado(s), será(ão) adotado(s), em substituição, o(s) que vier(em) a ser determinado(s) pela legislação então em vigor.</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Na ausência de previsão legal quanto ao índice substituto, as partes elegerão novo índice oficial, para reajustamento do preço do valor remanescente, por meio de termo aditivo.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O reajuste será realizado por apostilamento.</w:t>
      </w:r>
    </w:p>
    <w:p>
      <w:pPr>
        <w:widowControl/>
        <w:tabs>
          <w:tab w:val="left" w:pos="426"/>
        </w:tabs>
        <w:autoSpaceDE/>
        <w:autoSpaceDN/>
        <w:spacing w:before="120" w:after="120" w:line="276" w:lineRule="auto"/>
        <w:jc w:val="both"/>
        <w:rPr>
          <w:rFonts w:ascii="Arial" w:hAnsi="Arial" w:cs="Arial"/>
          <w:bCs/>
          <w:i/>
          <w:color w:val="FF0000"/>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OITAVA - OBRIGAÇÕES DO CONTRATANTE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 XI e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Contratante:</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Exigir o cumprimento de todas as obrigações assumidas pelo Contratado, de acordo com o contrato e seus anexos;</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Receber o objeto no prazo e condições estabelecidas no Termo de Referência;</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Notificar o Contratado, por escrito, sobre vícios, defeitos ou incorreções verificadas no objeto fornecido, para que seja por ele substituído, reparado ou corrigido, no total ou em parte, às suas expensas;</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Acompanhar e fiscalizar a execução do contrato e o cumprimento das obrigações pelo Contratado;</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Efetuar o pagamento ao Contratado do valor correspondente ao fornecimento do objeto, no prazo, forma e condições estabelecidos no presente Contrato e no Termo de Referência.</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Aplicar ao Contratado as sanções previstas na lei e neste Contrato; </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Cientificar o órgão de representação judicial da Procuradoria Geral Municipal para adoção das medidas cabíveis quando do descumprimento de obrigações pelo Contratado;</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 A Administração terá o prazo de </w:t>
      </w:r>
      <w:r>
        <w:rPr>
          <w:rFonts w:ascii="Arial" w:hAnsi="Arial" w:cs="Arial"/>
          <w:bCs/>
          <w:iCs/>
        </w:rPr>
        <w:t>1 (um) mês</w:t>
      </w:r>
      <w:r>
        <w:rPr>
          <w:rFonts w:ascii="Arial" w:hAnsi="Arial" w:cs="Arial"/>
          <w:bCs/>
          <w:iCs/>
          <w:lang w:val="pt-BR"/>
        </w:rPr>
        <w:t xml:space="preserve">, a contar da data do protocolo do requerimento para decidir, admitida a prorrogação motivada, por igual período. </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Responder eventuais pedidos de reestabelecimento do equilíbrio econômico-financeiro feitos pelo contratado no prazo máximo de </w:t>
      </w:r>
      <w:r>
        <w:rPr>
          <w:rFonts w:ascii="Arial" w:hAnsi="Arial" w:cs="Arial"/>
          <w:bCs/>
          <w:iCs/>
        </w:rPr>
        <w:t>1 (um) mês</w:t>
      </w:r>
      <w:r>
        <w:rPr>
          <w:rFonts w:ascii="Arial" w:hAnsi="Arial" w:cs="Arial"/>
          <w:bCs/>
          <w:iCs/>
          <w:lang w:val="pt-BR"/>
        </w:rPr>
        <w:t>.</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19"/>
        <w:widowControl/>
        <w:tabs>
          <w:tab w:val="left" w:pos="426"/>
        </w:tabs>
        <w:autoSpaceDE/>
        <w:autoSpaceDN/>
        <w:spacing w:before="120" w:after="120" w:line="276" w:lineRule="auto"/>
        <w:ind w:left="862"/>
        <w:jc w:val="both"/>
        <w:rPr>
          <w:rFonts w:ascii="Arial" w:hAnsi="Arial" w:cs="Arial"/>
          <w:bCs/>
          <w:iCs/>
          <w:lang w:val="pt-BR"/>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NONA - OBRIGAÇÕES DO CONTRATADO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 XVI e XVII)</w:t>
      </w:r>
      <w:r>
        <w:rPr>
          <w:rFonts w:ascii="Arial" w:hAnsi="Arial" w:cs="Arial" w:eastAsiaTheme="majorEastAsia"/>
          <w:b/>
          <w:bCs/>
          <w:lang w:val="pt-BR" w:eastAsia="pt-BR"/>
        </w:rPr>
        <w:fldChar w:fldCharType="end"/>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Contratado: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O Contratado deve cumprir todas as obrigações constantes deste Contrato e em seus anexos, assumindo como exclusivamente seus os riscos e as despesas decorrentes da boa e perfeita execução do objeto, observando, ainda, as obrigações a seguir dispostas:</w:t>
      </w:r>
    </w:p>
    <w:p>
      <w:pPr>
        <w:pStyle w:val="19"/>
        <w:widowControl/>
        <w:numPr>
          <w:ilvl w:val="2"/>
          <w:numId w:val="3"/>
        </w:numPr>
        <w:tabs>
          <w:tab w:val="left" w:pos="426"/>
        </w:tabs>
        <w:autoSpaceDE/>
        <w:autoSpaceDN/>
        <w:spacing w:before="120" w:after="120" w:line="276" w:lineRule="auto"/>
        <w:jc w:val="both"/>
        <w:rPr>
          <w:rFonts w:ascii="Arial" w:hAnsi="Arial" w:cs="Arial"/>
          <w:color w:val="000000" w:themeColor="text1"/>
          <w14:textFill>
            <w14:solidFill>
              <w14:schemeClr w14:val="tx1"/>
            </w14:solidFill>
          </w14:textFill>
        </w:rPr>
      </w:pPr>
      <w:r>
        <w:rPr>
          <w:rFonts w:ascii="Arial" w:hAnsi="Arial" w:cs="Arial"/>
          <w:bCs/>
          <w:iCs/>
          <w:lang w:val="pt-BR"/>
        </w:rPr>
        <w:t>Responsabilizar</w:t>
      </w:r>
      <w:r>
        <w:rPr>
          <w:rFonts w:ascii="Arial" w:hAnsi="Arial" w:cs="Arial"/>
        </w:rPr>
        <w:t>-se pelos vícios e danos decorrentes do objeto, de acordo com o Código de Defesa do Consumidor (</w:t>
      </w:r>
      <w:r>
        <w:fldChar w:fldCharType="begin"/>
      </w:r>
      <w:r>
        <w:instrText xml:space="preserve"> HYPERLINK "https://www.planalto.gov.br/ccivil_03/leis/l8078compilado.htm" </w:instrText>
      </w:r>
      <w:r>
        <w:fldChar w:fldCharType="separate"/>
      </w:r>
      <w:r>
        <w:rPr>
          <w:rStyle w:val="9"/>
          <w:rFonts w:ascii="Arial" w:hAnsi="Arial" w:cs="Arial"/>
        </w:rPr>
        <w:t>Lei nº 8.078, de 1990</w:t>
      </w:r>
      <w:r>
        <w:rPr>
          <w:rStyle w:val="9"/>
          <w:rFonts w:ascii="Arial" w:hAnsi="Arial" w:cs="Arial"/>
        </w:rPr>
        <w:fldChar w:fldCharType="end"/>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Comunicar ao contratante, no prazo máximo de 24 (vinte e quatro) horas que antecede a data da entrega, os motivos que impossibilitem o cumprimento do prazo previsto, com a devida comprovação</w:t>
      </w:r>
    </w:p>
    <w:p>
      <w:pPr>
        <w:pStyle w:val="19"/>
        <w:widowControl/>
        <w:numPr>
          <w:ilvl w:val="2"/>
          <w:numId w:val="3"/>
        </w:numPr>
        <w:tabs>
          <w:tab w:val="left" w:pos="426"/>
        </w:tabs>
        <w:autoSpaceDE/>
        <w:autoSpaceDN/>
        <w:spacing w:before="120" w:after="120" w:line="276" w:lineRule="auto"/>
        <w:jc w:val="both"/>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 xml:space="preserve">Atender </w:t>
      </w:r>
      <w:r>
        <w:rPr>
          <w:rFonts w:ascii="Arial" w:hAnsi="Arial" w:cs="Arial"/>
        </w:rPr>
        <w:t>às</w:t>
      </w:r>
      <w:r>
        <w:rPr>
          <w:rFonts w:ascii="Arial" w:hAnsi="Arial" w:cs="Arial"/>
          <w:color w:val="000000" w:themeColor="text1"/>
          <w14:textFill>
            <w14:solidFill>
              <w14:schemeClr w14:val="tx1"/>
            </w14:solidFill>
          </w14:textFill>
        </w:rPr>
        <w:t xml:space="preserve"> determinações regulares emitidas </w:t>
      </w:r>
      <w:r>
        <w:rPr>
          <w:rFonts w:ascii="Arial" w:hAnsi="Arial" w:cs="Arial"/>
          <w:bCs/>
          <w:iCs/>
          <w:lang w:val="pt-BR"/>
        </w:rPr>
        <w:t>pelo</w:t>
      </w:r>
      <w:r>
        <w:rPr>
          <w:rFonts w:ascii="Arial" w:hAnsi="Arial" w:cs="Arial"/>
          <w:color w:val="000000" w:themeColor="text1"/>
          <w14:textFill>
            <w14:solidFill>
              <w14:schemeClr w14:val="tx1"/>
            </w14:solidFill>
          </w14:textFill>
        </w:rPr>
        <w:t xml:space="preserve"> fiscal ou gestor do contrato ou autoridade superior (</w:t>
      </w:r>
      <w:r>
        <w:fldChar w:fldCharType="begin"/>
      </w:r>
      <w:r>
        <w:instrText xml:space="preserve"> HYPERLINK "http://www.planalto.gov.br/ccivil_03/_ato2019-2022/2021/lei/L14133.htm" \l "art137" </w:instrText>
      </w:r>
      <w:r>
        <w:fldChar w:fldCharType="separate"/>
      </w:r>
      <w:r>
        <w:rPr>
          <w:rStyle w:val="9"/>
          <w:rFonts w:ascii="Arial" w:hAnsi="Arial" w:cs="Arial"/>
        </w:rPr>
        <w:t>art. 137, II, da Lei n.º 14.133, de 2021</w:t>
      </w:r>
      <w:r>
        <w:rPr>
          <w:rStyle w:val="9"/>
          <w:rFonts w:ascii="Arial" w:hAnsi="Arial" w:cs="Arial"/>
        </w:rPr>
        <w:fldChar w:fldCharType="end"/>
      </w:r>
      <w:r>
        <w:rPr>
          <w:rFonts w:ascii="Arial" w:hAnsi="Arial" w:cs="Arial"/>
          <w:color w:val="000000" w:themeColor="text1"/>
          <w14:textFill>
            <w14:solidFill>
              <w14:schemeClr w14:val="tx1"/>
            </w14:solidFill>
          </w14:textFill>
        </w:rPr>
        <w:t xml:space="preserve">) e </w:t>
      </w:r>
      <w:r>
        <w:rPr>
          <w:rFonts w:ascii="Arial" w:hAnsi="Arial" w:cs="Arial"/>
        </w:rPr>
        <w:t>prestar todo esclarecimento ou informação por eles solicitados</w:t>
      </w:r>
      <w:r>
        <w:rPr>
          <w:rFonts w:ascii="Arial" w:hAnsi="Arial" w:cs="Arial"/>
          <w:color w:val="000000" w:themeColor="text1"/>
          <w14:textFill>
            <w14:solidFill>
              <w14:schemeClr w14:val="tx1"/>
            </w14:solidFill>
          </w14:textFil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Reparar, corrigir, remover, reconstruir ou substituir, às suas expensas, no total ou em parte, no prazo fixado pelo fiscal do contrato, os bens nos quais se verificarem vícios, defeitos ou incorreções resultantes da execução ou dos materiais empregados;</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Responsabilizar-se pelo cumprimento de todas as obrigações trabalhistas, previdenciárias, fiscais, comerciais e as </w:t>
      </w:r>
      <w:r>
        <w:rPr>
          <w:rFonts w:ascii="Arial" w:hAnsi="Arial" w:cs="Arial"/>
          <w:bCs/>
          <w:iCs/>
          <w:lang w:val="pt-BR"/>
        </w:rPr>
        <w:t>demais</w:t>
      </w:r>
      <w:r>
        <w:rPr>
          <w:rFonts w:ascii="Arial" w:hAnsi="Arial" w:cs="Arial"/>
        </w:rPr>
        <w:t xml:space="preserve"> previstas em legislação específica, cuja inadimplência não transfere a responsabilidade ao contratante e não poderá onerar o objeto do contrato;</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Comunicar ao Fiscal do contrato, no prazo de 24 (vinte e quatro) horas, qualquer ocorrência anormal ou acidente que se verifique no local da execução do objeto contratual.</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Paralisar, por determinação do Contratante, qualquer atividade que não esteja sendo executada de acordo com a boa técnica ou que ponha em risco a segurança de pessoas ou bens de terceiros.</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Manter durante toda a vigência do contrato, em compatibilidade com as obrigações assumidas, todas as condições exigidas para habilitação na licitação; </w:t>
      </w:r>
    </w:p>
    <w:p>
      <w:pPr>
        <w:pStyle w:val="45"/>
        <w:numPr>
          <w:ilvl w:val="1"/>
          <w:numId w:val="3"/>
        </w:numPr>
        <w:rPr>
          <w:b/>
          <w:bCs/>
          <w:sz w:val="22"/>
          <w:szCs w:val="22"/>
        </w:rPr>
      </w:pPr>
      <w:r>
        <w:rPr>
          <w:sz w:val="22"/>
          <w:szCs w:val="22"/>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instrText xml:space="preserve"> HYPERLINK "http://www.planalto.gov.br/ccivil_03/_ato2019-2022/2021/lei/L14133.htm" \l "art116" </w:instrText>
      </w:r>
      <w:r>
        <w:fldChar w:fldCharType="separate"/>
      </w:r>
      <w:r>
        <w:rPr>
          <w:rStyle w:val="9"/>
          <w:sz w:val="22"/>
          <w:szCs w:val="22"/>
        </w:rPr>
        <w:t>art. 116, da Lei n.º 14.133, de 2021</w:t>
      </w:r>
      <w:r>
        <w:rPr>
          <w:rStyle w:val="9"/>
          <w:sz w:val="22"/>
          <w:szCs w:val="22"/>
        </w:rPr>
        <w:fldChar w:fldCharType="end"/>
      </w:r>
      <w:r>
        <w:rPr>
          <w:sz w:val="22"/>
          <w:szCs w:val="22"/>
        </w:rPr>
        <w:t>);</w:t>
      </w:r>
    </w:p>
    <w:p>
      <w:pPr>
        <w:pStyle w:val="45"/>
        <w:numPr>
          <w:ilvl w:val="1"/>
          <w:numId w:val="3"/>
        </w:numPr>
        <w:rPr>
          <w:sz w:val="22"/>
          <w:szCs w:val="22"/>
        </w:rPr>
      </w:pPr>
      <w:r>
        <w:rPr>
          <w:sz w:val="22"/>
          <w:szCs w:val="22"/>
        </w:rPr>
        <w:t>Comprovar a reserva de cargos a que se refere a cláusula acima, no prazo fixado pelo fiscal do contrato, com a indicação dos empregados que preencheram as referidas vagas (</w:t>
      </w:r>
      <w:r>
        <w:fldChar w:fldCharType="begin"/>
      </w:r>
      <w:r>
        <w:instrText xml:space="preserve"> HYPERLINK "http://www.planalto.gov.br/ccivil_03/_ato2019-2022/2021/lei/L14133.htm" \l "art116" </w:instrText>
      </w:r>
      <w:r>
        <w:fldChar w:fldCharType="separate"/>
      </w:r>
      <w:r>
        <w:rPr>
          <w:rStyle w:val="9"/>
          <w:sz w:val="22"/>
          <w:szCs w:val="22"/>
        </w:rPr>
        <w:t>art. 116, parágrafo único, da Lei n.º 14.133, de 2021</w:t>
      </w:r>
      <w:r>
        <w:rPr>
          <w:rStyle w:val="9"/>
          <w:sz w:val="22"/>
          <w:szCs w:val="22"/>
        </w:rPr>
        <w:fldChar w:fldCharType="end"/>
      </w:r>
      <w:r>
        <w:rPr>
          <w:sz w:val="22"/>
          <w:szCs w:val="22"/>
        </w:rPr>
        <w:t>);</w:t>
      </w:r>
    </w:p>
    <w:p>
      <w:pPr>
        <w:pStyle w:val="45"/>
        <w:numPr>
          <w:ilvl w:val="1"/>
          <w:numId w:val="3"/>
        </w:numPr>
        <w:rPr>
          <w:sz w:val="22"/>
          <w:szCs w:val="22"/>
        </w:rPr>
      </w:pPr>
      <w:r>
        <w:rPr>
          <w:sz w:val="22"/>
          <w:szCs w:val="22"/>
        </w:rPr>
        <w:t xml:space="preserve">Guardar sigilo sobre todas as informações obtidas em decorrência do cumprimento do contrato; </w:t>
      </w:r>
    </w:p>
    <w:p>
      <w:pPr>
        <w:pStyle w:val="45"/>
        <w:numPr>
          <w:ilvl w:val="1"/>
          <w:numId w:val="3"/>
        </w:numPr>
        <w:rPr>
          <w:sz w:val="22"/>
          <w:szCs w:val="22"/>
        </w:rPr>
      </w:pPr>
      <w:r>
        <w:rPr>
          <w:sz w:val="22"/>
          <w:szCs w:val="22"/>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instrText xml:space="preserve"> HYPERLINK "http://www.planalto.gov.br/ccivil_03/_ato2019-2022/2021/lei/L14133.htm" \l "art124" </w:instrText>
      </w:r>
      <w:r>
        <w:fldChar w:fldCharType="separate"/>
      </w:r>
      <w:r>
        <w:rPr>
          <w:rStyle w:val="9"/>
          <w:sz w:val="22"/>
          <w:szCs w:val="22"/>
        </w:rPr>
        <w:t>art. 124, II, d, da Lei nº 14.133, de 2021.</w:t>
      </w:r>
      <w:r>
        <w:rPr>
          <w:rStyle w:val="9"/>
          <w:sz w:val="22"/>
          <w:szCs w:val="22"/>
        </w:rPr>
        <w:fldChar w:fldCharType="end"/>
      </w:r>
    </w:p>
    <w:p>
      <w:pPr>
        <w:pStyle w:val="45"/>
        <w:numPr>
          <w:ilvl w:val="1"/>
          <w:numId w:val="3"/>
        </w:numPr>
        <w:rPr>
          <w:sz w:val="22"/>
          <w:szCs w:val="22"/>
        </w:rPr>
      </w:pPr>
      <w:r>
        <w:rPr>
          <w:sz w:val="22"/>
          <w:szCs w:val="22"/>
        </w:rPr>
        <w:t>Cumprir, além dos postulados legais vigentes de âmbito federal, estadual ou municipal, as normas de segurança do contratante.</w:t>
      </w:r>
    </w:p>
    <w:p>
      <w:pPr>
        <w:pStyle w:val="19"/>
        <w:tabs>
          <w:tab w:val="left" w:pos="284"/>
        </w:tabs>
        <w:spacing w:line="276" w:lineRule="auto"/>
        <w:ind w:left="0"/>
        <w:rPr>
          <w:rFonts w:ascii="Arial" w:hAnsi="Arial" w:cs="Arial" w:eastAsiaTheme="majorEastAsia"/>
          <w:b/>
          <w:bCs/>
          <w:lang w:val="pt-BR" w:eastAsia="pt-BR"/>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 GARANTIA DE EXECUÇÃO (art. 92, XII)</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  Não haverá exigência de garantia contratual da execução.</w:t>
      </w:r>
    </w:p>
    <w:p>
      <w:pPr>
        <w:pStyle w:val="19"/>
        <w:widowControl/>
        <w:tabs>
          <w:tab w:val="left" w:pos="426"/>
        </w:tabs>
        <w:autoSpaceDE/>
        <w:autoSpaceDN/>
        <w:spacing w:before="120" w:after="120" w:line="276" w:lineRule="auto"/>
        <w:ind w:left="0"/>
        <w:jc w:val="both"/>
        <w:rPr>
          <w:rFonts w:ascii="Arial" w:hAnsi="Arial" w:cs="Arial"/>
          <w:bCs/>
          <w:i/>
          <w:color w:val="FF0000"/>
          <w:lang w:val="pt-BR"/>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PRIMEIRA – INFRAÇÕES E SANÇÕES ADMINISTRATIVAS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Comete infração administrativa, nos termos da </w:t>
      </w:r>
      <w:r>
        <w:fldChar w:fldCharType="begin"/>
      </w:r>
      <w:r>
        <w:instrText xml:space="preserve"> HYPERLINK "http://www.planalto.gov.br/ccivil_03/_ato2019-2022/2021/lei/L14133.htm" </w:instrText>
      </w:r>
      <w:r>
        <w:fldChar w:fldCharType="separate"/>
      </w:r>
      <w:r>
        <w:rPr>
          <w:rFonts w:ascii="Arial" w:hAnsi="Arial" w:cs="Arial"/>
          <w:bCs/>
          <w:iCs/>
          <w:lang w:val="pt-BR"/>
        </w:rPr>
        <w:t>Lei nº 14.133, de 2021</w:t>
      </w:r>
      <w:r>
        <w:rPr>
          <w:rFonts w:ascii="Arial" w:hAnsi="Arial" w:cs="Arial"/>
          <w:bCs/>
          <w:iCs/>
          <w:lang w:val="pt-BR"/>
        </w:rPr>
        <w:fldChar w:fldCharType="end"/>
      </w:r>
      <w:r>
        <w:rPr>
          <w:rFonts w:ascii="Arial" w:hAnsi="Arial" w:cs="Arial"/>
          <w:bCs/>
          <w:iCs/>
          <w:lang w:val="pt-BR"/>
        </w:rPr>
        <w:t>, o contratado que:</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 que cause grave dano à Administração ou ao funcionamento dos serviços públicos ou ao interesse coletivo;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total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ensejar o retardamento da execução ou da entrega do objeto da contratação sem motivo justificado;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apresentar documentação falsa ou prestar declaração falsa durante a execução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praticar ato fraudulento na execução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comportar-se de modo inidôneo ou cometer fraude de qualquer natureza;</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 xml:space="preserve">praticar ato lesivo previsto no </w:t>
      </w:r>
      <w:r>
        <w:fldChar w:fldCharType="begin"/>
      </w:r>
      <w:r>
        <w:instrText xml:space="preserve"> HYPERLINK "https://www.planalto.gov.br/ccivil_03/_ato2011-2014/2013/lei/l12846.htm" \l "art5" </w:instrText>
      </w:r>
      <w:r>
        <w:fldChar w:fldCharType="separate"/>
      </w:r>
      <w:r>
        <w:rPr>
          <w:rStyle w:val="9"/>
          <w:rFonts w:ascii="Arial" w:hAnsi="Arial" w:eastAsia="Arial" w:cs="Arial"/>
        </w:rPr>
        <w:t>art. 5º da Lei nº 12.846, de 1º de agosto de 2013</w:t>
      </w:r>
      <w:r>
        <w:rPr>
          <w:rStyle w:val="9"/>
          <w:rFonts w:ascii="Arial" w:hAnsi="Arial" w:eastAsia="Arial" w:cs="Arial"/>
        </w:rPr>
        <w:fldChar w:fldCharType="end"/>
      </w:r>
      <w:r>
        <w:rPr>
          <w:rFonts w:ascii="Arial" w:hAnsi="Arial" w:eastAsia="Arial" w:cs="Arial"/>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Serão aplicadas ao contratado que incorrer nas infrações acima descritas as seguintes sanções:</w:t>
      </w:r>
    </w:p>
    <w:p>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Advertência</w:t>
      </w:r>
      <w:r>
        <w:rPr>
          <w:rFonts w:ascii="Arial" w:hAnsi="Arial" w:eastAsia="Arial" w:cs="Arial"/>
        </w:rPr>
        <w:t>, quando o contratado der causa à inexecução parcial do contrato, sempre que não se justificar a imposição de penalidade mais grave (</w:t>
      </w:r>
      <w:r>
        <w:fldChar w:fldCharType="begin"/>
      </w:r>
      <w:r>
        <w:instrText xml:space="preserve"> HYPERLINK "http://www.planalto.gov.br/ccivil_03/_ato2019-2022/2021/lei/L14133.htm" \l "art156§2" </w:instrText>
      </w:r>
      <w:r>
        <w:fldChar w:fldCharType="separate"/>
      </w:r>
      <w:r>
        <w:rPr>
          <w:rStyle w:val="9"/>
          <w:rFonts w:ascii="Arial" w:hAnsi="Arial" w:eastAsia="Arial" w:cs="Arial"/>
        </w:rPr>
        <w:t xml:space="preserve">art. 156, §2º, da </w:t>
      </w:r>
      <w:bookmarkStart w:id="15" w:name="_Hlk114504069"/>
      <w:r>
        <w:rPr>
          <w:rStyle w:val="9"/>
          <w:rFonts w:ascii="Arial" w:hAnsi="Arial" w:eastAsia="Arial" w:cs="Arial"/>
        </w:rPr>
        <w:t>Lei nº 14.133, de 2021</w:t>
      </w:r>
      <w:bookmarkEnd w:id="15"/>
      <w:r>
        <w:rPr>
          <w:rStyle w:val="9"/>
          <w:rFonts w:ascii="Arial" w:hAnsi="Arial" w:eastAsia="Arial" w:cs="Arial"/>
        </w:rPr>
        <w:fldChar w:fldCharType="end"/>
      </w:r>
      <w:r>
        <w:rPr>
          <w:rFonts w:ascii="Arial" w:hAnsi="Arial" w:eastAsia="Arial" w:cs="Arial"/>
        </w:rPr>
        <w:t>);</w:t>
      </w:r>
    </w:p>
    <w:p>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Impedimento de licitar e contratar</w:t>
      </w:r>
      <w:r>
        <w:rPr>
          <w:rFonts w:ascii="Arial" w:hAnsi="Arial" w:eastAsia="Arial" w:cs="Arial"/>
        </w:rPr>
        <w:t>, quando praticadas as condutas descritas nas alíneas “b”, “c” e “d” do subitem acima deste Contrato, sempre que não se justificar a imposição de penalidade mais grave (</w:t>
      </w:r>
      <w:r>
        <w:fldChar w:fldCharType="begin"/>
      </w:r>
      <w:r>
        <w:instrText xml:space="preserve"> HYPERLINK "http://www.planalto.gov.br/ccivil_03/_ato2019-2022/2021/lei/L14133.htm" \l "art156§4" </w:instrText>
      </w:r>
      <w:r>
        <w:fldChar w:fldCharType="separate"/>
      </w:r>
      <w:r>
        <w:rPr>
          <w:rStyle w:val="9"/>
          <w:rFonts w:ascii="Arial" w:hAnsi="Arial" w:eastAsia="Arial" w:cs="Arial"/>
        </w:rPr>
        <w:t>art. 156, § 4º, da Lei nº 14.133, de 2021</w:t>
      </w:r>
      <w:r>
        <w:rPr>
          <w:rStyle w:val="9"/>
          <w:rFonts w:ascii="Arial" w:hAnsi="Arial" w:eastAsia="Arial" w:cs="Arial"/>
        </w:rPr>
        <w:fldChar w:fldCharType="end"/>
      </w:r>
      <w:r>
        <w:rPr>
          <w:rFonts w:ascii="Arial" w:hAnsi="Arial" w:eastAsia="Arial" w:cs="Arial"/>
        </w:rPr>
        <w:t>);</w:t>
      </w:r>
    </w:p>
    <w:p>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Declaração de inidoneidade para licitar e contratar</w:t>
      </w:r>
      <w:r>
        <w:rPr>
          <w:rFonts w:ascii="Arial" w:hAnsi="Arial" w:eastAsia="Arial" w:cs="Arial"/>
        </w:rPr>
        <w:t>, quando praticadas as condutas descritas nas alíneas “e”, “f”, “g” e “h” do subitem acima deste Contrato, bem como nas alíneas “b”, “c” e “d”, que justifiquem a imposição de penalidade mais grave (</w:t>
      </w:r>
      <w:r>
        <w:fldChar w:fldCharType="begin"/>
      </w:r>
      <w:r>
        <w:instrText xml:space="preserve"> HYPERLINK "http://www.planalto.gov.br/ccivil_03/_ato2019-2022/2021/lei/L14133.htm" \l "art156§5" </w:instrText>
      </w:r>
      <w:r>
        <w:fldChar w:fldCharType="separate"/>
      </w:r>
      <w:r>
        <w:rPr>
          <w:rStyle w:val="9"/>
          <w:rFonts w:ascii="Arial" w:hAnsi="Arial" w:eastAsia="Arial" w:cs="Arial"/>
        </w:rPr>
        <w:t>art. 156, §5º, da Lei nº 14.133, de 2021</w:t>
      </w:r>
      <w:r>
        <w:rPr>
          <w:rStyle w:val="9"/>
          <w:rFonts w:ascii="Arial" w:hAnsi="Arial" w:eastAsia="Arial" w:cs="Arial"/>
        </w:rPr>
        <w:fldChar w:fldCharType="end"/>
      </w:r>
      <w:r>
        <w:rPr>
          <w:rFonts w:ascii="Arial" w:hAnsi="Arial" w:eastAsia="Arial" w:cs="Arial"/>
        </w:rPr>
        <w:t>).</w:t>
      </w:r>
    </w:p>
    <w:p>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Multa:</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Moratória de 0,5 % (</w:t>
      </w:r>
      <w:r>
        <w:rPr>
          <w:rFonts w:ascii="Arial" w:hAnsi="Arial" w:eastAsia="Arial" w:cs="Arial"/>
          <w:i/>
          <w:iCs/>
        </w:rPr>
        <w:t>cinco décimos por cento</w:t>
      </w:r>
      <w:r>
        <w:rPr>
          <w:rFonts w:ascii="Arial" w:hAnsi="Arial" w:eastAsia="Arial" w:cs="Arial"/>
        </w:rPr>
        <w:t>) por dia de atraso injustificado sobre o valor da parcela inadimplida, até o limite de 20 (vinte) dias;</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i/>
          <w:iCs/>
        </w:rPr>
        <w:t>Moratória de 0,5% (cinco décimos por cento) por dia de atraso injustificado sobre o valor total do contrato, até o máximo de 10% (dez por cento), pela inobservância do prazo fixado para apresentação, suplementação ou reposição da garantia.</w:t>
      </w:r>
    </w:p>
    <w:p>
      <w:pPr>
        <w:pStyle w:val="19"/>
        <w:widowControl/>
        <w:numPr>
          <w:ilvl w:val="2"/>
          <w:numId w:val="5"/>
        </w:numPr>
        <w:suppressAutoHyphens/>
        <w:autoSpaceDE/>
        <w:autoSpaceDN/>
        <w:spacing w:before="120" w:after="120" w:line="276" w:lineRule="auto"/>
        <w:ind w:left="851" w:firstLine="0"/>
        <w:contextualSpacing/>
        <w:jc w:val="both"/>
        <w:rPr>
          <w:rFonts w:ascii="Arial" w:hAnsi="Arial" w:eastAsia="Arial" w:cs="Arial"/>
        </w:rPr>
      </w:pPr>
      <w:r>
        <w:rPr>
          <w:rFonts w:ascii="Arial" w:hAnsi="Arial" w:eastAsia="Arial" w:cs="Arial"/>
          <w:i/>
          <w:iCs/>
        </w:rPr>
        <w:t xml:space="preserve">O atraso superior a 20 (vinte) dias autoriza a Administração a promover a extinção do contrato por descumprimento ou cumprimento irregular de suas cláusulas, conforme dispõe o inciso I do art. 137 da Lei n. 14.133, de 2021. </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Compensatória, para as infrações descritas nas alíneas “e” a “h” do subitem 11.1, de 15% a 30% do valor do Contrato.</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 xml:space="preserve">Compensatória, para a inexecução total do contrato prevista na alínea “c” do subitem 11.1, de 15%  do valor do Contrato. </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infração descrita na alínea “b” do subitem 11.1, a multa será de 15%  do valor do Contrato.</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infrações descritas na alínea “d” do subitem 11.1, a multa será de 5% a 10%  do valor do Contrato.</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a infração descrita na alínea “a” do subitem 11.1, a multa será de 05% a 15% do valor do Contrato, ressalvadas as seguintes infrações:</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A aplicação das sanções previstas neste Contrato não exclui, em hipótese alguma, a obrigação de reparação integral do dano causado ao Contratante (</w:t>
      </w:r>
      <w:r>
        <w:fldChar w:fldCharType="begin"/>
      </w:r>
      <w:r>
        <w:instrText xml:space="preserve"> HYPERLINK "http://www.planalto.gov.br/ccivil_03/_ato2019-2022/2021/lei/L14133.htm" \l "art156§9" </w:instrText>
      </w:r>
      <w:r>
        <w:fldChar w:fldCharType="separate"/>
      </w:r>
      <w:r>
        <w:rPr>
          <w:rStyle w:val="9"/>
          <w:rFonts w:ascii="Arial" w:hAnsi="Arial" w:cs="Arial"/>
        </w:rPr>
        <w:t>art. 156, §9º, da Lei nº 14.133, de 2021</w:t>
      </w:r>
      <w:r>
        <w:rPr>
          <w:rStyle w:val="9"/>
          <w:rFonts w:ascii="Arial" w:hAnsi="Arial" w:cs="Arial"/>
        </w:rPr>
        <w:fldChar w:fldCharType="end"/>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Todas as sanções previstas neste Contrato poderão ser aplicadas cumulativamente com a multa (</w:t>
      </w:r>
      <w:r>
        <w:fldChar w:fldCharType="begin"/>
      </w:r>
      <w:r>
        <w:instrText xml:space="preserve"> HYPERLINK "http://www.planalto.gov.br/ccivil_03/_ato2019-2022/2021/lei/L14133.htm" \l "art156§7" </w:instrText>
      </w:r>
      <w:r>
        <w:fldChar w:fldCharType="separate"/>
      </w:r>
      <w:r>
        <w:rPr>
          <w:rStyle w:val="9"/>
          <w:rFonts w:ascii="Arial" w:hAnsi="Arial" w:cs="Arial"/>
        </w:rPr>
        <w:t>art. 156, §7º, da Lei nº 14.133, de 2021</w:t>
      </w:r>
      <w:r>
        <w:rPr>
          <w:rStyle w:val="9"/>
          <w:rFonts w:ascii="Arial" w:hAnsi="Arial" w:cs="Arial"/>
        </w:rPr>
        <w:fldChar w:fldCharType="end"/>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Antes da aplicação da multa será facultada a defesa do interessado no prazo de 15 (quinze) dias úteis, contado da data de sua intimação (</w:t>
      </w:r>
      <w:r>
        <w:fldChar w:fldCharType="begin"/>
      </w:r>
      <w:r>
        <w:instrText xml:space="preserve"> HYPERLINK "http://www.planalto.gov.br/ccivil_03/_ato2019-2022/2021/lei/L14133.htm" \l "art157" </w:instrText>
      </w:r>
      <w:r>
        <w:fldChar w:fldCharType="separate"/>
      </w:r>
      <w:r>
        <w:rPr>
          <w:rStyle w:val="9"/>
          <w:rFonts w:ascii="Arial" w:hAnsi="Arial" w:cs="Arial"/>
        </w:rPr>
        <w:t>art. 157, da Lei nº 14.133, de 2021</w:t>
      </w:r>
      <w:r>
        <w:rPr>
          <w:rStyle w:val="9"/>
          <w:rFonts w:ascii="Arial" w:hAnsi="Arial" w:cs="Arial"/>
        </w:rPr>
        <w:fldChar w:fldCharType="end"/>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instrText xml:space="preserve"> HYPERLINK "http://www.planalto.gov.br/ccivil_03/_ato2019-2022/2021/lei/L14133.htm" \l "art156§8" </w:instrText>
      </w:r>
      <w:r>
        <w:fldChar w:fldCharType="separate"/>
      </w:r>
      <w:r>
        <w:rPr>
          <w:rStyle w:val="9"/>
          <w:rFonts w:ascii="Arial" w:hAnsi="Arial" w:cs="Arial"/>
        </w:rPr>
        <w:t>art. 156, §8º, da Lei nº 14.133, de 2021</w:t>
      </w:r>
      <w:r>
        <w:rPr>
          <w:rStyle w:val="9"/>
          <w:rFonts w:ascii="Arial" w:hAnsi="Arial" w:cs="Arial"/>
        </w:rPr>
        <w:fldChar w:fldCharType="end"/>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Previamente ao encaminhamento à cobrança judicial, a multa poderá ser recolhida administrativamente no prazo máximo de </w:t>
      </w:r>
      <w:r>
        <w:rPr>
          <w:rFonts w:ascii="Arial" w:hAnsi="Arial" w:cs="Arial"/>
          <w:i/>
          <w:iCs/>
        </w:rPr>
        <w:t xml:space="preserve">30 (trinta) </w:t>
      </w:r>
      <w:r>
        <w:rPr>
          <w:rFonts w:ascii="Arial" w:hAnsi="Arial" w:cs="Arial"/>
        </w:rPr>
        <w:t>dias, a contar da data do recebimento da comunicação enviada pela autoridade competente.</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A aplicação das sanções realizar-se-á em processo administrativo que assegure o contraditório e a ampla defesa ao Contratado, observando-se o procedimento previsto no </w:t>
      </w:r>
      <w:r>
        <w:rPr>
          <w:rFonts w:ascii="Arial" w:hAnsi="Arial" w:cs="Arial"/>
          <w:b/>
          <w:bCs/>
        </w:rPr>
        <w:t xml:space="preserve">caput </w:t>
      </w:r>
      <w:r>
        <w:rPr>
          <w:rFonts w:ascii="Arial" w:hAnsi="Arial" w:cs="Arial"/>
        </w:rPr>
        <w:t xml:space="preserve">e parágrafos do </w:t>
      </w:r>
      <w:r>
        <w:fldChar w:fldCharType="begin"/>
      </w:r>
      <w:r>
        <w:instrText xml:space="preserve"> HYPERLINK "http://www.planalto.gov.br/ccivil_03/_ato2019-2022/2021/lei/L14133.htm" \l "art158" </w:instrText>
      </w:r>
      <w:r>
        <w:fldChar w:fldCharType="separate"/>
      </w:r>
      <w:r>
        <w:rPr>
          <w:rStyle w:val="9"/>
          <w:rFonts w:ascii="Arial" w:hAnsi="Arial" w:cs="Arial"/>
        </w:rPr>
        <w:t>art. 158 da Lei nº 14.133, de 2021</w:t>
      </w:r>
      <w:r>
        <w:rPr>
          <w:rStyle w:val="9"/>
          <w:rFonts w:ascii="Arial" w:hAnsi="Arial" w:cs="Arial"/>
        </w:rPr>
        <w:fldChar w:fldCharType="end"/>
      </w:r>
      <w:r>
        <w:rPr>
          <w:rFonts w:ascii="Arial" w:hAnsi="Arial" w:cs="Arial"/>
        </w:rPr>
        <w:t>, para as penalidades de impedimento de licitar e contratar e de declaração de inidoneidade para licitar ou contratar.</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Na aplicação das sanções serão considerados (</w:t>
      </w:r>
      <w:r>
        <w:fldChar w:fldCharType="begin"/>
      </w:r>
      <w:r>
        <w:instrText xml:space="preserve"> HYPERLINK "http://www.planalto.gov.br/ccivil_03/_ato2019-2022/2021/lei/L14133.htm" \l "art156§1" </w:instrText>
      </w:r>
      <w:r>
        <w:fldChar w:fldCharType="separate"/>
      </w:r>
      <w:r>
        <w:rPr>
          <w:rStyle w:val="9"/>
          <w:rFonts w:ascii="Arial" w:hAnsi="Arial" w:cs="Arial"/>
        </w:rPr>
        <w:t>art. 156, §1º, da Lei nº 14.133, de 2021</w:t>
      </w:r>
      <w:r>
        <w:rPr>
          <w:rStyle w:val="9"/>
          <w:rFonts w:ascii="Arial" w:hAnsi="Arial" w:cs="Arial"/>
        </w:rPr>
        <w:fldChar w:fldCharType="end"/>
      </w:r>
      <w:r>
        <w:rPr>
          <w:rFonts w:ascii="Arial" w:hAnsi="Arial" w:cs="Arial"/>
        </w:rPr>
        <w:t>):</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natureza e a gravidade da infração cometida;</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peculiaridades do caso concreto;</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circunstâncias agravantes ou atenuantes;</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os danos que dela provierem para o Contratante;</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implantação ou o aperfeiçoamento de programa de integridade, conforme normas e orientações dos órgãos de controle.</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Os atos previstos como infrações administrativas na </w:t>
      </w:r>
      <w:r>
        <w:fldChar w:fldCharType="begin"/>
      </w:r>
      <w:r>
        <w:instrText xml:space="preserve"> HYPERLINK "http://www.planalto.gov.br/ccivil_03/_ato2019-2022/2021/lei/L14133.htm" </w:instrText>
      </w:r>
      <w:r>
        <w:fldChar w:fldCharType="separate"/>
      </w:r>
      <w:r>
        <w:rPr>
          <w:rStyle w:val="9"/>
          <w:rFonts w:ascii="Arial" w:hAnsi="Arial" w:cs="Arial"/>
        </w:rPr>
        <w:t>Lei nº 14.133, de 2021</w:t>
      </w:r>
      <w:r>
        <w:rPr>
          <w:rStyle w:val="9"/>
          <w:rFonts w:ascii="Arial" w:hAnsi="Arial" w:cs="Arial"/>
        </w:rPr>
        <w:fldChar w:fldCharType="end"/>
      </w:r>
      <w:r>
        <w:rPr>
          <w:rFonts w:ascii="Arial" w:hAnsi="Arial" w:cs="Arial"/>
        </w:rPr>
        <w:t xml:space="preserve">, ou em outras leis de licitações e contratos da Administração Pública que também sejam tipificados como atos lesivos na </w:t>
      </w:r>
      <w:r>
        <w:fldChar w:fldCharType="begin"/>
      </w:r>
      <w:r>
        <w:instrText xml:space="preserve"> HYPERLINK "https://www.planalto.gov.br/ccivil_03/_ato2011-2014/2013/lei/l12846.htm" </w:instrText>
      </w:r>
      <w:r>
        <w:fldChar w:fldCharType="separate"/>
      </w:r>
      <w:r>
        <w:rPr>
          <w:rStyle w:val="9"/>
          <w:rFonts w:ascii="Arial" w:hAnsi="Arial" w:cs="Arial"/>
        </w:rPr>
        <w:t>Lei nº 12.846, de 2013</w:t>
      </w:r>
      <w:r>
        <w:rPr>
          <w:rStyle w:val="9"/>
          <w:rFonts w:ascii="Arial" w:hAnsi="Arial" w:cs="Arial"/>
        </w:rPr>
        <w:fldChar w:fldCharType="end"/>
      </w:r>
      <w:r>
        <w:rPr>
          <w:rFonts w:ascii="Arial" w:hAnsi="Arial" w:cs="Arial"/>
        </w:rPr>
        <w:t>, serão apurados e julgados conjuntamente, nos mesmos autos, observados o rito procedimental e autoridade competente definidos na referida Lei (</w:t>
      </w:r>
      <w:r>
        <w:fldChar w:fldCharType="begin"/>
      </w:r>
      <w:r>
        <w:instrText xml:space="preserve"> HYPERLINK "http://www.planalto.gov.br/ccivil_03/_ato2019-2022/2021/lei/L14133.htm%25art159" </w:instrText>
      </w:r>
      <w:r>
        <w:fldChar w:fldCharType="separate"/>
      </w:r>
      <w:r>
        <w:rPr>
          <w:rStyle w:val="9"/>
          <w:rFonts w:ascii="Arial" w:hAnsi="Arial" w:cs="Arial"/>
        </w:rPr>
        <w:t>art. 159</w:t>
      </w:r>
      <w:r>
        <w:rPr>
          <w:rStyle w:val="9"/>
          <w:rFonts w:ascii="Arial" w:hAnsi="Arial" w:cs="Arial"/>
        </w:rPr>
        <w:fldChar w:fldCharType="end"/>
      </w:r>
      <w:r>
        <w:rPr>
          <w:rFonts w:ascii="Arial" w:hAnsi="Arial" w:cs="Arial"/>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instrText xml:space="preserve"> HYPERLINK "http://www.planalto.gov.br/ccivil_03/_ato2019-2022/2021/lei/L14133.htm" \l "art160" </w:instrText>
      </w:r>
      <w:r>
        <w:fldChar w:fldCharType="separate"/>
      </w:r>
      <w:r>
        <w:rPr>
          <w:rStyle w:val="9"/>
          <w:rFonts w:ascii="Arial" w:hAnsi="Arial" w:cs="Arial"/>
        </w:rPr>
        <w:t>art. 160, da Lei nº 14.133, de 2021</w:t>
      </w:r>
      <w:r>
        <w:rPr>
          <w:rStyle w:val="9"/>
          <w:rFonts w:ascii="Arial" w:hAnsi="Arial" w:cs="Arial"/>
        </w:rPr>
        <w:fldChar w:fldCharType="end"/>
      </w:r>
      <w:r>
        <w:rPr>
          <w:rFonts w:ascii="Arial" w:hAnsi="Arial" w:cs="Arial"/>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instrText xml:space="preserve"> HYPERLINK "http://www.planalto.gov.br/ccivil_03/_ato2019-2022/2021/lei/L14133.htm" \l "art161" </w:instrText>
      </w:r>
      <w:r>
        <w:fldChar w:fldCharType="separate"/>
      </w:r>
      <w:r>
        <w:rPr>
          <w:rStyle w:val="9"/>
          <w:rFonts w:ascii="Arial" w:hAnsi="Arial" w:cs="Arial"/>
        </w:rPr>
        <w:t>Art. 161, da Lei nº 14.133, de 2021</w:t>
      </w:r>
      <w:r>
        <w:rPr>
          <w:rStyle w:val="9"/>
          <w:rFonts w:ascii="Arial" w:hAnsi="Arial" w:cs="Arial"/>
        </w:rPr>
        <w:fldChar w:fldCharType="end"/>
      </w:r>
      <w:r>
        <w:rPr>
          <w:rFonts w:ascii="Arial" w:hAnsi="Arial" w:cs="Arial"/>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 xml:space="preserve">As sanções de impedimento de licitar e contratar e declaração de inidoneidade para licitar ou contratar são passíveis de reabilitação na forma do </w:t>
      </w:r>
      <w:r>
        <w:fldChar w:fldCharType="begin"/>
      </w:r>
      <w:r>
        <w:instrText xml:space="preserve"> HYPERLINK "http://www.planalto.gov.br/ccivil_03/_ato2019-2022/2021/lei/L14133.htm" \l "163" </w:instrText>
      </w:r>
      <w:r>
        <w:fldChar w:fldCharType="separate"/>
      </w:r>
      <w:r>
        <w:rPr>
          <w:rStyle w:val="9"/>
          <w:rFonts w:ascii="Arial" w:hAnsi="Arial" w:cs="Arial"/>
        </w:rPr>
        <w:t>art. 163 da Lei nº 14.133/21</w:t>
      </w:r>
      <w:r>
        <w:rPr>
          <w:rStyle w:val="9"/>
          <w:rFonts w:ascii="Arial" w:hAnsi="Arial" w:cs="Arial"/>
        </w:rPr>
        <w:fldChar w:fldCharType="end"/>
      </w:r>
      <w:r>
        <w:rPr>
          <w:rFonts w:ascii="Arial" w:hAnsi="Arial" w:cs="Arial"/>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r>
        <w:fldChar w:fldCharType="begin"/>
      </w:r>
      <w:r>
        <w:instrText xml:space="preserve"> HYPERLINK "https://www.gov.br/compras/pt-br/acesso-a-informacao/legislacao/instrucoes-normativas/instrucao-normativa-seges-me-no-26-de-13-de-abril-de-2022" </w:instrText>
      </w:r>
      <w:r>
        <w:fldChar w:fldCharType="separate"/>
      </w:r>
      <w:r>
        <w:rPr>
          <w:rStyle w:val="9"/>
          <w:rFonts w:ascii="Arial" w:hAnsi="Arial" w:cs="Arial"/>
        </w:rPr>
        <w:t>Normativa SEGES/ME nº 26, de 13 de abril de 2022</w:t>
      </w:r>
      <w:r>
        <w:rPr>
          <w:rStyle w:val="9"/>
          <w:rFonts w:ascii="Arial" w:hAnsi="Arial" w:cs="Arial"/>
        </w:rPr>
        <w:fldChar w:fldCharType="end"/>
      </w:r>
      <w:r>
        <w:rPr>
          <w:rFonts w:ascii="Arial" w:hAnsi="Arial" w:cs="Arial"/>
        </w:rPr>
        <w:t xml:space="preserve">. </w:t>
      </w:r>
    </w:p>
    <w:p>
      <w:pPr>
        <w:pStyle w:val="34"/>
        <w:numPr>
          <w:ilvl w:val="0"/>
          <w:numId w:val="3"/>
        </w:numPr>
        <w:tabs>
          <w:tab w:val="left" w:pos="284"/>
          <w:tab w:val="left" w:pos="993"/>
        </w:tabs>
        <w:spacing w:line="276" w:lineRule="auto"/>
        <w:ind w:left="0" w:firstLine="0"/>
        <w:rPr>
          <w:rFonts w:ascii="Arial" w:hAnsi="Arial" w:cs="Arial"/>
          <w:sz w:val="22"/>
          <w:szCs w:val="22"/>
        </w:rPr>
      </w:pPr>
      <w:r>
        <w:rPr>
          <w:rFonts w:ascii="Arial" w:hAnsi="Arial" w:cs="Arial"/>
          <w:sz w:val="22"/>
          <w:szCs w:val="22"/>
        </w:rPr>
        <w:t>- CLÁUSULA DÉCIMA SEGUNDA – DA EXTINÇÃO CONTRATUAL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rPr>
        <w:t>art. 92, XIX</w:t>
      </w:r>
      <w:r>
        <w:rPr>
          <w:rStyle w:val="9"/>
          <w:rFonts w:ascii="Arial" w:hAnsi="Arial" w:cs="Arial"/>
          <w:sz w:val="22"/>
          <w:szCs w:val="22"/>
        </w:rPr>
        <w:fldChar w:fldCharType="end"/>
      </w:r>
      <w:r>
        <w:rPr>
          <w:rFonts w:ascii="Arial" w:hAnsi="Arial" w:cs="Arial"/>
          <w:sz w:val="22"/>
          <w:szCs w:val="22"/>
        </w:rPr>
        <w:t xml:space="preserve">) </w:t>
      </w:r>
    </w:p>
    <w:p>
      <w:pPr>
        <w:pStyle w:val="19"/>
        <w:widowControl/>
        <w:numPr>
          <w:ilvl w:val="1"/>
          <w:numId w:val="3"/>
        </w:numPr>
        <w:tabs>
          <w:tab w:val="left" w:pos="709"/>
        </w:tabs>
        <w:autoSpaceDE/>
        <w:autoSpaceDN/>
        <w:spacing w:before="120" w:after="120" w:line="276" w:lineRule="auto"/>
        <w:ind w:left="0" w:firstLine="0"/>
        <w:jc w:val="both"/>
        <w:rPr>
          <w:rFonts w:ascii="Arial" w:hAnsi="Arial" w:cs="Arial" w:eastAsiaTheme="minorEastAsia"/>
          <w:lang w:val="pt-BR" w:eastAsia="pt-BR"/>
        </w:rPr>
      </w:pPr>
      <w:r>
        <w:rPr>
          <w:rFonts w:ascii="Arial" w:hAnsi="Arial" w:cs="Arial"/>
        </w:rPr>
        <w:t>O contrato será extinto quando cumpridas as obrigações de ambas as partes, ainda que isso ocorra antes do prazo estipulado para tanto.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Se as obrigações não forem cumpridas no prazo estipulado, a vigência ficará prorrogada até a conclusão do objeto, caso em que deverá a Administração providenciar a readequação do cronograma fixado para o contrato.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Quando a não conclusão do contrato referida no item anterior decorrer de culpa do contratado:</w:t>
      </w:r>
    </w:p>
    <w:p>
      <w:pPr>
        <w:pStyle w:val="19"/>
        <w:widowControl/>
        <w:numPr>
          <w:ilvl w:val="1"/>
          <w:numId w:val="7"/>
        </w:numPr>
        <w:tabs>
          <w:tab w:val="left" w:pos="426"/>
        </w:tabs>
        <w:autoSpaceDE/>
        <w:autoSpaceDN/>
        <w:spacing w:before="120" w:after="120" w:line="276" w:lineRule="auto"/>
        <w:ind w:left="709"/>
        <w:jc w:val="both"/>
        <w:rPr>
          <w:rFonts w:ascii="Arial" w:hAnsi="Arial" w:cs="Arial"/>
        </w:rPr>
      </w:pPr>
      <w:r>
        <w:rPr>
          <w:rFonts w:ascii="Arial" w:hAnsi="Arial" w:cs="Arial"/>
        </w:rPr>
        <w:t xml:space="preserve">ficará ele constituído em mora, sendo-lhe aplicáveis as respectivas sanções administrativas; e  </w:t>
      </w:r>
    </w:p>
    <w:p>
      <w:pPr>
        <w:pStyle w:val="19"/>
        <w:widowControl/>
        <w:numPr>
          <w:ilvl w:val="1"/>
          <w:numId w:val="7"/>
        </w:numPr>
        <w:tabs>
          <w:tab w:val="left" w:pos="426"/>
        </w:tabs>
        <w:autoSpaceDE/>
        <w:autoSpaceDN/>
        <w:spacing w:before="120" w:after="120" w:line="276" w:lineRule="auto"/>
        <w:ind w:left="709"/>
        <w:jc w:val="both"/>
        <w:rPr>
          <w:rFonts w:ascii="Arial" w:hAnsi="Arial" w:cs="Arial"/>
        </w:rPr>
      </w:pPr>
      <w:r>
        <w:rPr>
          <w:rFonts w:ascii="Arial" w:hAnsi="Arial" w:cs="Arial"/>
        </w:rPr>
        <w:t>poderá a Administração optar pela extinção do contrato e, nesse caso, adotará as medidas admitidas em lei para a continuidade da execução contratual</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 contrato poderá ser extinto antes de cumpridas as obrigações nele estipuladas, ou antes do prazo nele fixado, por algum dos motivos previstos no </w:t>
      </w:r>
      <w:r>
        <w:fldChar w:fldCharType="begin"/>
      </w:r>
      <w:r>
        <w:instrText xml:space="preserve"> HYPERLINK "http://www.planalto.gov.br/ccivil_03/_ato2019-2022/2021/lei/L14133.htm" \l "art137" </w:instrText>
      </w:r>
      <w:r>
        <w:fldChar w:fldCharType="separate"/>
      </w:r>
      <w:r>
        <w:rPr>
          <w:rStyle w:val="9"/>
          <w:rFonts w:ascii="Arial" w:hAnsi="Arial" w:cs="Arial"/>
        </w:rPr>
        <w:t>artigo 137 da Lei nº 14.133/21</w:t>
      </w:r>
      <w:r>
        <w:rPr>
          <w:rStyle w:val="9"/>
          <w:rFonts w:ascii="Arial" w:hAnsi="Arial" w:cs="Arial"/>
        </w:rPr>
        <w:fldChar w:fldCharType="end"/>
      </w:r>
      <w:r>
        <w:rPr>
          <w:rFonts w:ascii="Arial" w:hAnsi="Arial" w:cs="Arial"/>
        </w:rPr>
        <w:t xml:space="preserve">, bem como amigavelmente, </w:t>
      </w:r>
      <w:r>
        <w:rPr>
          <w:rFonts w:ascii="Arial" w:hAnsi="Arial" w:cs="Arial"/>
          <w:color w:val="000000" w:themeColor="text1"/>
          <w14:textFill>
            <w14:solidFill>
              <w14:schemeClr w14:val="tx1"/>
            </w14:solidFill>
          </w14:textFill>
        </w:rPr>
        <w:t>assegurados o contraditório e a ampla defesa</w:t>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  Nesta hipótese, aplicam-se também os </w:t>
      </w:r>
      <w:r>
        <w:fldChar w:fldCharType="begin"/>
      </w:r>
      <w:r>
        <w:instrText xml:space="preserve"> HYPERLINK "http://www.planalto.gov.br/ccivil_03/_ato2019-2022/2021/lei/L14133.htm" \l "art138" </w:instrText>
      </w:r>
      <w:r>
        <w:fldChar w:fldCharType="separate"/>
      </w:r>
      <w:r>
        <w:rPr>
          <w:rStyle w:val="9"/>
          <w:rFonts w:ascii="Arial" w:hAnsi="Arial" w:cs="Arial"/>
        </w:rPr>
        <w:t>artigos 138 e 139</w:t>
      </w:r>
      <w:r>
        <w:rPr>
          <w:rStyle w:val="9"/>
          <w:rFonts w:ascii="Arial" w:hAnsi="Arial" w:cs="Arial"/>
        </w:rPr>
        <w:fldChar w:fldCharType="end"/>
      </w:r>
      <w:r>
        <w:rPr>
          <w:rFonts w:ascii="Arial" w:hAnsi="Arial" w:cs="Arial"/>
        </w:rPr>
        <w:t xml:space="preserve"> da mesma Lei.</w:t>
      </w:r>
    </w:p>
    <w:p>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A alteração social ou a modificação da finalidade ou da estrutura da empresa não ensejará a extinção se não restringir sua capacidade de concluir o contrato.</w:t>
      </w:r>
    </w:p>
    <w:p>
      <w:pPr>
        <w:pStyle w:val="19"/>
        <w:widowControl/>
        <w:numPr>
          <w:ilvl w:val="3"/>
          <w:numId w:val="3"/>
        </w:numPr>
        <w:tabs>
          <w:tab w:val="left" w:pos="426"/>
        </w:tabs>
        <w:autoSpaceDE/>
        <w:autoSpaceDN/>
        <w:spacing w:before="120" w:after="120" w:line="276" w:lineRule="auto"/>
        <w:jc w:val="both"/>
        <w:rPr>
          <w:rFonts w:ascii="Arial" w:hAnsi="Arial" w:cs="Arial"/>
        </w:rPr>
      </w:pPr>
      <w:r>
        <w:rPr>
          <w:rFonts w:ascii="Arial" w:hAnsi="Arial" w:cs="Arial"/>
          <w:color w:val="000000" w:themeColor="text1"/>
          <w14:textFill>
            <w14:solidFill>
              <w14:schemeClr w14:val="tx1"/>
            </w14:solidFill>
          </w14:textFill>
        </w:rPr>
        <w:t xml:space="preserve">Se a </w:t>
      </w:r>
      <w:r>
        <w:rPr>
          <w:rFonts w:ascii="Arial" w:hAnsi="Arial" w:cs="Arial"/>
        </w:rPr>
        <w:t>operação</w:t>
      </w:r>
      <w:r>
        <w:rPr>
          <w:rFonts w:ascii="Arial" w:hAnsi="Arial" w:cs="Arial"/>
          <w:color w:val="000000" w:themeColor="text1"/>
          <w14:textFill>
            <w14:solidFill>
              <w14:schemeClr w14:val="tx1"/>
            </w14:solidFill>
          </w14:textFill>
        </w:rPr>
        <w:t xml:space="preserve"> </w:t>
      </w:r>
      <w:r>
        <w:rPr>
          <w:rFonts w:ascii="Arial" w:hAnsi="Arial" w:cs="Arial"/>
        </w:rPr>
        <w:t>implicar mudança da pessoa jurídica contratada, deverá ser formalizado termo aditivo para alteração subjetiva.</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O termo de extinção, sempre que possível, será precedido:</w:t>
      </w:r>
    </w:p>
    <w:p>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Balanço dos eventos contratuais já cumpridos ou parcialmente cumpridos;</w:t>
      </w:r>
    </w:p>
    <w:p>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Relação dos pagamentos já efetuados e ainda devidos;</w:t>
      </w:r>
    </w:p>
    <w:p>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Indenizações e multas.</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A extinção do contrato não configura óbice para o reconhecimento do desequilíbrio econômico-financeiro, hipótese em que será concedida indenização por meio de termo indenizatório (</w:t>
      </w:r>
      <w:r>
        <w:fldChar w:fldCharType="begin"/>
      </w:r>
      <w:r>
        <w:instrText xml:space="preserve"> HYPERLINK "http://www.planalto.gov.br/ccivil_03/_ato2019-2022/2021/lei/L14133.htm" \l "art131" </w:instrText>
      </w:r>
      <w:r>
        <w:fldChar w:fldCharType="separate"/>
      </w:r>
      <w:r>
        <w:rPr>
          <w:rStyle w:val="9"/>
          <w:rFonts w:ascii="Arial" w:hAnsi="Arial" w:cs="Arial"/>
        </w:rPr>
        <w:t xml:space="preserve">art. 131, </w:t>
      </w:r>
      <w:r>
        <w:rPr>
          <w:rStyle w:val="9"/>
          <w:rFonts w:ascii="Arial" w:hAnsi="Arial" w:cs="Arial"/>
          <w:i/>
          <w:iCs/>
        </w:rPr>
        <w:t xml:space="preserve">caput, </w:t>
      </w:r>
      <w:r>
        <w:rPr>
          <w:rStyle w:val="9"/>
          <w:rFonts w:ascii="Arial" w:hAnsi="Arial" w:cs="Arial"/>
        </w:rPr>
        <w:t>da Lei n.º 14.133, de 2021).</w:t>
      </w:r>
      <w:r>
        <w:rPr>
          <w:rStyle w:val="9"/>
          <w:rFonts w:ascii="Arial" w:hAnsi="Arial" w:cs="Arial"/>
        </w:rPr>
        <w:fldChar w:fldCharType="end"/>
      </w:r>
      <w:r>
        <w:rPr>
          <w:rFonts w:ascii="Arial" w:hAnsi="Arial" w:cs="Arial"/>
        </w:rPr>
        <w:t xml:space="preserve">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pPr>
        <w:pStyle w:val="34"/>
        <w:numPr>
          <w:ilvl w:val="0"/>
          <w:numId w:val="3"/>
        </w:numPr>
        <w:tabs>
          <w:tab w:val="left" w:pos="284"/>
          <w:tab w:val="left" w:pos="993"/>
        </w:tabs>
        <w:spacing w:line="276" w:lineRule="auto"/>
        <w:ind w:left="0" w:firstLine="0"/>
        <w:rPr>
          <w:rFonts w:ascii="Arial" w:hAnsi="Arial" w:cs="Arial"/>
          <w:sz w:val="22"/>
          <w:szCs w:val="22"/>
        </w:rPr>
      </w:pPr>
      <w:r>
        <w:rPr>
          <w:rFonts w:ascii="Arial" w:hAnsi="Arial" w:cs="Arial"/>
          <w:sz w:val="22"/>
          <w:szCs w:val="22"/>
        </w:rPr>
        <w:t xml:space="preserve"> CLÁUSULA DÉCIMA TERCEIRA – DOTAÇÃO ORÇAMENTÁRIA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rPr>
        <w:t>art. 92, VIII</w:t>
      </w:r>
      <w:r>
        <w:rPr>
          <w:rStyle w:val="9"/>
          <w:rFonts w:ascii="Arial" w:hAnsi="Arial" w:cs="Arial"/>
          <w:sz w:val="22"/>
          <w:szCs w:val="22"/>
        </w:rPr>
        <w:fldChar w:fldCharType="end"/>
      </w:r>
      <w:r>
        <w:rPr>
          <w:rFonts w:ascii="Arial" w:hAnsi="Arial" w:cs="Arial"/>
          <w:sz w:val="22"/>
          <w:szCs w:val="22"/>
        </w:rPr>
        <w:t>)</w:t>
      </w:r>
    </w:p>
    <w:p>
      <w:pPr>
        <w:pStyle w:val="34"/>
        <w:numPr>
          <w:ilvl w:val="0"/>
          <w:numId w:val="0"/>
        </w:numPr>
        <w:tabs>
          <w:tab w:val="left" w:pos="284"/>
          <w:tab w:val="left" w:pos="993"/>
        </w:tabs>
        <w:spacing w:line="276" w:lineRule="auto"/>
        <w:ind w:leftChars="0"/>
        <w:rPr>
          <w:rFonts w:hint="default" w:ascii="Arial" w:hAnsi="Arial" w:cs="Arial"/>
          <w:b w:val="0"/>
          <w:bCs w:val="0"/>
          <w:sz w:val="22"/>
          <w:szCs w:val="22"/>
          <w:lang w:val="pt-BR"/>
        </w:rPr>
      </w:pPr>
      <w:r>
        <w:rPr>
          <w:rFonts w:hint="default" w:ascii="Arial" w:hAnsi="Arial" w:cs="Arial"/>
          <w:b w:val="0"/>
          <w:bCs w:val="0"/>
          <w:sz w:val="22"/>
          <w:szCs w:val="22"/>
          <w:lang w:val="pt-BR"/>
        </w:rPr>
        <w:t>13.1 As despesas decorrentes da presente contratação correrão à conta de recursos específicos consignados no Orçamento do Município, na forma abaixo:</w:t>
      </w:r>
    </w:p>
    <w:tbl>
      <w:tblPr>
        <w:tblStyle w:val="17"/>
        <w:tblW w:w="94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88"/>
        <w:gridCol w:w="2861"/>
        <w:gridCol w:w="1909"/>
        <w:gridCol w:w="21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6" w:hRule="atLeast"/>
        </w:trPr>
        <w:tc>
          <w:tcPr>
            <w:tcW w:w="2488" w:type="dxa"/>
            <w:shd w:val="clear" w:color="auto" w:fill="auto"/>
            <w:tcMar>
              <w:left w:w="108" w:type="dxa"/>
            </w:tcMar>
          </w:tcPr>
          <w:p>
            <w:pPr>
              <w:pStyle w:val="34"/>
              <w:numPr>
                <w:ilvl w:val="0"/>
                <w:numId w:val="0"/>
              </w:numPr>
              <w:tabs>
                <w:tab w:val="left" w:pos="284"/>
                <w:tab w:val="left" w:pos="993"/>
              </w:tabs>
              <w:spacing w:line="276" w:lineRule="auto"/>
              <w:ind w:leftChars="0"/>
              <w:jc w:val="center"/>
              <w:rPr>
                <w:rFonts w:hint="default" w:ascii="Arial" w:hAnsi="Arial" w:cs="Arial"/>
                <w:b w:val="0"/>
                <w:bCs w:val="0"/>
                <w:sz w:val="22"/>
                <w:szCs w:val="22"/>
                <w:lang w:val="pt-BR"/>
              </w:rPr>
            </w:pPr>
            <w:r>
              <w:rPr>
                <w:rFonts w:hint="default" w:ascii="Arial" w:hAnsi="Arial" w:cs="Arial"/>
                <w:b w:val="0"/>
                <w:bCs w:val="0"/>
                <w:sz w:val="22"/>
                <w:szCs w:val="22"/>
                <w:lang w:val="pt-BR"/>
              </w:rPr>
              <w:t>Órgão/Unidade Orçamentária</w:t>
            </w:r>
          </w:p>
        </w:tc>
        <w:tc>
          <w:tcPr>
            <w:tcW w:w="2861" w:type="dxa"/>
            <w:shd w:val="clear" w:color="auto" w:fill="auto"/>
            <w:tcMar>
              <w:left w:w="108" w:type="dxa"/>
            </w:tcMar>
          </w:tcPr>
          <w:p>
            <w:pPr>
              <w:pStyle w:val="34"/>
              <w:numPr>
                <w:ilvl w:val="0"/>
                <w:numId w:val="0"/>
              </w:numPr>
              <w:tabs>
                <w:tab w:val="left" w:pos="284"/>
                <w:tab w:val="left" w:pos="993"/>
              </w:tabs>
              <w:spacing w:line="276" w:lineRule="auto"/>
              <w:ind w:leftChars="0"/>
              <w:jc w:val="center"/>
              <w:rPr>
                <w:rFonts w:hint="default" w:ascii="Arial" w:hAnsi="Arial" w:cs="Arial"/>
                <w:b w:val="0"/>
                <w:bCs w:val="0"/>
                <w:sz w:val="22"/>
                <w:szCs w:val="22"/>
                <w:lang w:val="pt-BR"/>
              </w:rPr>
            </w:pPr>
            <w:r>
              <w:rPr>
                <w:rFonts w:hint="default" w:ascii="Arial" w:hAnsi="Arial" w:cs="Arial"/>
                <w:b w:val="0"/>
                <w:bCs w:val="0"/>
                <w:sz w:val="22"/>
                <w:szCs w:val="22"/>
                <w:lang w:val="pt-BR"/>
              </w:rPr>
              <w:t>Programa de Trabalho</w:t>
            </w:r>
          </w:p>
        </w:tc>
        <w:tc>
          <w:tcPr>
            <w:tcW w:w="1909" w:type="dxa"/>
            <w:shd w:val="clear" w:color="auto" w:fill="auto"/>
            <w:tcMar>
              <w:left w:w="108" w:type="dxa"/>
            </w:tcMar>
          </w:tcPr>
          <w:p>
            <w:pPr>
              <w:pStyle w:val="34"/>
              <w:numPr>
                <w:ilvl w:val="0"/>
                <w:numId w:val="0"/>
              </w:numPr>
              <w:tabs>
                <w:tab w:val="left" w:pos="284"/>
                <w:tab w:val="left" w:pos="993"/>
              </w:tabs>
              <w:spacing w:line="276" w:lineRule="auto"/>
              <w:ind w:leftChars="0"/>
              <w:jc w:val="center"/>
              <w:rPr>
                <w:rFonts w:hint="default" w:ascii="Arial" w:hAnsi="Arial" w:cs="Arial"/>
                <w:b w:val="0"/>
                <w:bCs w:val="0"/>
                <w:sz w:val="22"/>
                <w:szCs w:val="22"/>
                <w:lang w:val="pt-BR"/>
              </w:rPr>
            </w:pPr>
            <w:r>
              <w:rPr>
                <w:rFonts w:hint="default" w:ascii="Arial" w:hAnsi="Arial" w:cs="Arial"/>
                <w:b w:val="0"/>
                <w:bCs w:val="0"/>
                <w:sz w:val="22"/>
                <w:szCs w:val="22"/>
                <w:lang w:val="pt-BR"/>
              </w:rPr>
              <w:t>Fonte de Recursos</w:t>
            </w:r>
          </w:p>
        </w:tc>
        <w:tc>
          <w:tcPr>
            <w:tcW w:w="2147" w:type="dxa"/>
            <w:shd w:val="clear" w:color="auto" w:fill="auto"/>
            <w:tcMar>
              <w:left w:w="108" w:type="dxa"/>
            </w:tcMar>
          </w:tcPr>
          <w:p>
            <w:pPr>
              <w:pStyle w:val="34"/>
              <w:numPr>
                <w:ilvl w:val="0"/>
                <w:numId w:val="0"/>
              </w:numPr>
              <w:tabs>
                <w:tab w:val="left" w:pos="284"/>
                <w:tab w:val="left" w:pos="993"/>
              </w:tabs>
              <w:spacing w:line="276" w:lineRule="auto"/>
              <w:ind w:leftChars="0"/>
              <w:jc w:val="center"/>
              <w:rPr>
                <w:rFonts w:hint="default" w:ascii="Arial" w:hAnsi="Arial" w:cs="Arial"/>
                <w:b w:val="0"/>
                <w:bCs w:val="0"/>
                <w:sz w:val="22"/>
                <w:szCs w:val="22"/>
                <w:lang w:val="pt-BR"/>
              </w:rPr>
            </w:pPr>
            <w:r>
              <w:rPr>
                <w:rFonts w:hint="default" w:ascii="Arial" w:hAnsi="Arial" w:cs="Arial"/>
                <w:b w:val="0"/>
                <w:bCs w:val="0"/>
                <w:sz w:val="22"/>
                <w:szCs w:val="22"/>
                <w:lang w:val="pt-BR"/>
              </w:rPr>
              <w:t>Natureza da Despesa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2488" w:type="dxa"/>
            <w:shd w:val="clear" w:color="auto" w:fill="auto"/>
            <w:tcMar>
              <w:left w:w="108" w:type="dxa"/>
            </w:tcMar>
            <w:vAlign w:val="top"/>
          </w:tcPr>
          <w:p>
            <w:pPr>
              <w:pStyle w:val="34"/>
              <w:keepNext/>
              <w:keepLines/>
              <w:pageBreakBefore w:val="0"/>
              <w:widowControl/>
              <w:numPr>
                <w:ilvl w:val="0"/>
                <w:numId w:val="0"/>
              </w:numPr>
              <w:tabs>
                <w:tab w:val="left" w:pos="284"/>
                <w:tab w:val="left" w:pos="993"/>
              </w:tabs>
              <w:kinsoku/>
              <w:wordWrap/>
              <w:overflowPunct/>
              <w:topLinePunct w:val="0"/>
              <w:autoSpaceDE/>
              <w:autoSpaceDN/>
              <w:bidi w:val="0"/>
              <w:adjustRightInd/>
              <w:snapToGrid/>
              <w:spacing w:line="276" w:lineRule="auto"/>
              <w:ind w:leftChars="0"/>
              <w:jc w:val="left"/>
              <w:textAlignment w:val="auto"/>
              <w:rPr>
                <w:rFonts w:hint="default" w:ascii="Arial" w:hAnsi="Arial" w:cs="Arial"/>
                <w:b w:val="0"/>
                <w:bCs w:val="0"/>
                <w:sz w:val="22"/>
                <w:szCs w:val="22"/>
                <w:lang w:val="pt-BR"/>
              </w:rPr>
            </w:pPr>
            <w:r>
              <w:rPr>
                <w:rFonts w:hint="default" w:ascii="Arial" w:hAnsi="Arial" w:cs="Arial"/>
                <w:b w:val="0"/>
                <w:bCs w:val="0"/>
                <w:sz w:val="22"/>
                <w:szCs w:val="22"/>
                <w:lang w:val="pt-BR"/>
              </w:rPr>
              <w:t>Secretaria de Infraestrutura e Obras</w:t>
            </w:r>
          </w:p>
        </w:tc>
        <w:tc>
          <w:tcPr>
            <w:tcW w:w="2861" w:type="dxa"/>
            <w:shd w:val="clear" w:color="auto" w:fill="auto"/>
            <w:tcMar>
              <w:left w:w="108" w:type="dxa"/>
            </w:tcMar>
          </w:tcPr>
          <w:p>
            <w:pPr>
              <w:pStyle w:val="34"/>
              <w:numPr>
                <w:ilvl w:val="0"/>
                <w:numId w:val="0"/>
              </w:numPr>
              <w:tabs>
                <w:tab w:val="left" w:pos="284"/>
                <w:tab w:val="left" w:pos="993"/>
              </w:tabs>
              <w:spacing w:line="276" w:lineRule="auto"/>
              <w:ind w:leftChars="0"/>
              <w:rPr>
                <w:rFonts w:hint="default" w:ascii="Arial" w:hAnsi="Arial" w:cs="Arial"/>
                <w:b w:val="0"/>
                <w:bCs w:val="0"/>
                <w:sz w:val="22"/>
                <w:szCs w:val="22"/>
                <w:lang w:val="pt-BR"/>
              </w:rPr>
            </w:pPr>
            <w:r>
              <w:rPr>
                <w:rFonts w:hint="default" w:ascii="Arial" w:hAnsi="Arial" w:cs="Arial"/>
                <w:b w:val="0"/>
                <w:bCs w:val="0"/>
                <w:sz w:val="22"/>
                <w:szCs w:val="22"/>
                <w:lang w:val="pt-BR"/>
              </w:rPr>
              <w:t>16 002 15 452 0018 2.103</w:t>
            </w:r>
          </w:p>
        </w:tc>
        <w:tc>
          <w:tcPr>
            <w:tcW w:w="1909" w:type="dxa"/>
            <w:shd w:val="clear" w:color="auto" w:fill="auto"/>
            <w:tcMar>
              <w:left w:w="108" w:type="dxa"/>
            </w:tcMar>
          </w:tcPr>
          <w:p>
            <w:pPr>
              <w:pStyle w:val="34"/>
              <w:numPr>
                <w:ilvl w:val="0"/>
                <w:numId w:val="0"/>
              </w:numPr>
              <w:tabs>
                <w:tab w:val="left" w:pos="284"/>
                <w:tab w:val="left" w:pos="993"/>
              </w:tabs>
              <w:spacing w:line="276" w:lineRule="auto"/>
              <w:ind w:leftChars="0"/>
              <w:jc w:val="center"/>
              <w:rPr>
                <w:rFonts w:hint="default" w:ascii="Arial" w:hAnsi="Arial" w:cs="Arial"/>
                <w:b w:val="0"/>
                <w:bCs w:val="0"/>
                <w:sz w:val="22"/>
                <w:szCs w:val="22"/>
                <w:lang w:val="pt-BR"/>
              </w:rPr>
            </w:pPr>
            <w:r>
              <w:rPr>
                <w:rFonts w:hint="default" w:ascii="Arial" w:hAnsi="Arial" w:cs="Arial"/>
                <w:b w:val="0"/>
                <w:bCs w:val="0"/>
                <w:sz w:val="22"/>
                <w:szCs w:val="22"/>
                <w:lang w:val="pt-BR"/>
              </w:rPr>
              <w:t>4.4.9.0.51.04</w:t>
            </w:r>
          </w:p>
        </w:tc>
        <w:tc>
          <w:tcPr>
            <w:tcW w:w="2147" w:type="dxa"/>
            <w:shd w:val="clear" w:color="auto" w:fill="auto"/>
            <w:tcMar>
              <w:left w:w="108" w:type="dxa"/>
            </w:tcMar>
          </w:tcPr>
          <w:p>
            <w:pPr>
              <w:pStyle w:val="34"/>
              <w:numPr>
                <w:ilvl w:val="0"/>
                <w:numId w:val="0"/>
              </w:numPr>
              <w:tabs>
                <w:tab w:val="left" w:pos="284"/>
                <w:tab w:val="left" w:pos="993"/>
              </w:tabs>
              <w:spacing w:line="276" w:lineRule="auto"/>
              <w:ind w:leftChars="0"/>
              <w:jc w:val="center"/>
              <w:rPr>
                <w:rFonts w:hint="default" w:ascii="Arial" w:hAnsi="Arial" w:cs="Arial"/>
                <w:b w:val="0"/>
                <w:bCs w:val="0"/>
                <w:sz w:val="22"/>
                <w:szCs w:val="22"/>
                <w:lang w:val="pt-BR"/>
              </w:rPr>
            </w:pPr>
            <w:r>
              <w:rPr>
                <w:rFonts w:hint="default" w:ascii="Arial" w:hAnsi="Arial" w:cs="Arial"/>
                <w:b w:val="0"/>
                <w:bCs w:val="0"/>
                <w:sz w:val="22"/>
                <w:szCs w:val="22"/>
                <w:lang w:val="pt-BR"/>
              </w:rPr>
              <w:t>172000000017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8" w:type="dxa"/>
            <w:shd w:val="clear" w:color="auto" w:fill="auto"/>
            <w:tcMar>
              <w:left w:w="108" w:type="dxa"/>
            </w:tcMar>
            <w:vAlign w:val="top"/>
          </w:tcPr>
          <w:p>
            <w:pPr>
              <w:pStyle w:val="34"/>
              <w:keepNext/>
              <w:keepLines/>
              <w:pageBreakBefore w:val="0"/>
              <w:widowControl/>
              <w:numPr>
                <w:ilvl w:val="0"/>
                <w:numId w:val="0"/>
              </w:numPr>
              <w:tabs>
                <w:tab w:val="left" w:pos="284"/>
                <w:tab w:val="left" w:pos="993"/>
              </w:tabs>
              <w:kinsoku/>
              <w:wordWrap/>
              <w:overflowPunct/>
              <w:topLinePunct w:val="0"/>
              <w:autoSpaceDE/>
              <w:autoSpaceDN/>
              <w:bidi w:val="0"/>
              <w:adjustRightInd/>
              <w:snapToGrid/>
              <w:spacing w:line="276" w:lineRule="auto"/>
              <w:ind w:leftChars="0"/>
              <w:jc w:val="left"/>
              <w:textAlignment w:val="auto"/>
              <w:rPr>
                <w:rFonts w:hint="default" w:ascii="Arial" w:hAnsi="Arial" w:cs="Arial"/>
                <w:b w:val="0"/>
                <w:bCs w:val="0"/>
                <w:sz w:val="22"/>
                <w:szCs w:val="22"/>
                <w:lang w:val="pt-BR"/>
              </w:rPr>
            </w:pPr>
            <w:r>
              <w:rPr>
                <w:rFonts w:hint="default" w:ascii="Arial" w:hAnsi="Arial" w:cs="Arial"/>
                <w:b w:val="0"/>
                <w:bCs w:val="0"/>
                <w:sz w:val="22"/>
                <w:szCs w:val="22"/>
                <w:lang w:val="pt-BR"/>
              </w:rPr>
              <w:t>Secretaria de Infraestrutura e Obras</w:t>
            </w:r>
          </w:p>
        </w:tc>
        <w:tc>
          <w:tcPr>
            <w:tcW w:w="2861" w:type="dxa"/>
            <w:shd w:val="clear" w:color="auto" w:fill="auto"/>
            <w:tcMar>
              <w:left w:w="108" w:type="dxa"/>
            </w:tcMar>
          </w:tcPr>
          <w:p>
            <w:pPr>
              <w:pStyle w:val="34"/>
              <w:numPr>
                <w:ilvl w:val="0"/>
                <w:numId w:val="0"/>
              </w:numPr>
              <w:tabs>
                <w:tab w:val="left" w:pos="284"/>
                <w:tab w:val="left" w:pos="993"/>
              </w:tabs>
              <w:spacing w:line="276" w:lineRule="auto"/>
              <w:ind w:leftChars="0"/>
              <w:rPr>
                <w:rFonts w:hint="default" w:ascii="Arial" w:hAnsi="Arial" w:cs="Arial"/>
                <w:b w:val="0"/>
                <w:bCs w:val="0"/>
                <w:sz w:val="22"/>
                <w:szCs w:val="22"/>
                <w:lang w:val="pt-BR"/>
              </w:rPr>
            </w:pPr>
            <w:r>
              <w:rPr>
                <w:rFonts w:hint="default" w:ascii="Arial" w:hAnsi="Arial" w:cs="Arial"/>
                <w:b w:val="0"/>
                <w:bCs w:val="0"/>
                <w:sz w:val="22"/>
                <w:szCs w:val="22"/>
                <w:lang w:val="pt-BR"/>
              </w:rPr>
              <w:t>16 002 15 452 0018 2.103</w:t>
            </w:r>
          </w:p>
        </w:tc>
        <w:tc>
          <w:tcPr>
            <w:tcW w:w="1909" w:type="dxa"/>
            <w:shd w:val="clear" w:color="auto" w:fill="auto"/>
            <w:tcMar>
              <w:left w:w="108" w:type="dxa"/>
            </w:tcMar>
          </w:tcPr>
          <w:p>
            <w:pPr>
              <w:pStyle w:val="34"/>
              <w:numPr>
                <w:ilvl w:val="0"/>
                <w:numId w:val="0"/>
              </w:numPr>
              <w:tabs>
                <w:tab w:val="left" w:pos="284"/>
                <w:tab w:val="left" w:pos="993"/>
              </w:tabs>
              <w:spacing w:line="276" w:lineRule="auto"/>
              <w:ind w:leftChars="0"/>
              <w:jc w:val="center"/>
              <w:rPr>
                <w:rFonts w:hint="default" w:ascii="Arial" w:hAnsi="Arial" w:cs="Arial"/>
                <w:b w:val="0"/>
                <w:bCs w:val="0"/>
                <w:sz w:val="22"/>
                <w:szCs w:val="22"/>
                <w:lang w:val="pt-BR"/>
              </w:rPr>
            </w:pPr>
            <w:r>
              <w:rPr>
                <w:rFonts w:hint="default" w:ascii="Arial" w:hAnsi="Arial" w:cs="Arial"/>
                <w:b w:val="0"/>
                <w:bCs w:val="0"/>
                <w:sz w:val="22"/>
                <w:szCs w:val="22"/>
                <w:lang w:val="pt-BR"/>
              </w:rPr>
              <w:t>4.4.9.0.51.04</w:t>
            </w:r>
          </w:p>
        </w:tc>
        <w:tc>
          <w:tcPr>
            <w:tcW w:w="2147" w:type="dxa"/>
            <w:shd w:val="clear" w:color="auto" w:fill="auto"/>
            <w:tcMar>
              <w:left w:w="108" w:type="dxa"/>
            </w:tcMar>
          </w:tcPr>
          <w:p>
            <w:pPr>
              <w:pStyle w:val="34"/>
              <w:numPr>
                <w:ilvl w:val="0"/>
                <w:numId w:val="0"/>
              </w:numPr>
              <w:tabs>
                <w:tab w:val="left" w:pos="284"/>
                <w:tab w:val="left" w:pos="993"/>
              </w:tabs>
              <w:spacing w:line="276" w:lineRule="auto"/>
              <w:ind w:leftChars="0"/>
              <w:jc w:val="center"/>
              <w:rPr>
                <w:rFonts w:hint="default" w:ascii="Arial" w:hAnsi="Arial" w:cs="Arial"/>
                <w:b w:val="0"/>
                <w:bCs w:val="0"/>
                <w:sz w:val="22"/>
                <w:szCs w:val="22"/>
                <w:lang w:val="pt-BR"/>
              </w:rPr>
            </w:pPr>
            <w:r>
              <w:rPr>
                <w:rFonts w:hint="default" w:ascii="Arial" w:hAnsi="Arial" w:cs="Arial"/>
                <w:b w:val="0"/>
                <w:bCs w:val="0"/>
                <w:sz w:val="22"/>
                <w:szCs w:val="22"/>
                <w:lang w:val="pt-BR"/>
              </w:rPr>
              <w:t>170500000020</w:t>
            </w:r>
          </w:p>
        </w:tc>
      </w:tr>
    </w:tbl>
    <w:p>
      <w:pPr>
        <w:pStyle w:val="34"/>
        <w:numPr>
          <w:ilvl w:val="0"/>
          <w:numId w:val="0"/>
        </w:numPr>
        <w:tabs>
          <w:tab w:val="left" w:pos="284"/>
          <w:tab w:val="left" w:pos="993"/>
        </w:tabs>
        <w:spacing w:line="276" w:lineRule="auto"/>
        <w:ind w:leftChars="0"/>
        <w:rPr>
          <w:rFonts w:hint="default" w:ascii="Arial" w:hAnsi="Arial" w:cs="Arial"/>
          <w:b w:val="0"/>
          <w:bCs w:val="0"/>
          <w:sz w:val="22"/>
          <w:szCs w:val="22"/>
          <w:lang w:val="pt-BR"/>
        </w:rPr>
      </w:pPr>
      <w:r>
        <w:rPr>
          <w:rFonts w:hint="default" w:ascii="Arial" w:hAnsi="Arial" w:cs="Arial"/>
          <w:b w:val="0"/>
          <w:bCs w:val="0"/>
          <w:sz w:val="22"/>
          <w:szCs w:val="22"/>
          <w:lang w:val="pt-BR"/>
        </w:rPr>
        <w:t>13.2 A dotação relativa aos exercícios financeiros subsequentes será indicada após aprovação da Lei Orçamentária respectiva e liberação dos créditos correspondentes, mediante apostilamento.</w:t>
      </w:r>
    </w:p>
    <w:p>
      <w:pPr>
        <w:pStyle w:val="34"/>
        <w:numPr>
          <w:ilvl w:val="0"/>
          <w:numId w:val="3"/>
        </w:numPr>
        <w:tabs>
          <w:tab w:val="left" w:pos="284"/>
          <w:tab w:val="left" w:pos="993"/>
        </w:tabs>
        <w:spacing w:line="276" w:lineRule="auto"/>
        <w:ind w:left="0" w:firstLine="0"/>
        <w:rPr>
          <w:rFonts w:ascii="Arial" w:hAnsi="Arial" w:cs="Arial"/>
          <w:color w:val="FFFFFF" w:themeColor="background1"/>
          <w:sz w:val="22"/>
          <w:szCs w:val="22"/>
          <w14:textFill>
            <w14:solidFill>
              <w14:schemeClr w14:val="bg1"/>
            </w14:solidFill>
          </w14:textFill>
        </w:rPr>
      </w:pPr>
      <w:r>
        <w:rPr>
          <w:rFonts w:ascii="Arial" w:hAnsi="Arial" w:cs="Arial"/>
          <w:sz w:val="22"/>
          <w:szCs w:val="22"/>
        </w:rPr>
        <w:t xml:space="preserve"> CLÁUSULA DÉCIMA QUARTA – ALTERAÇÕES </w:t>
      </w:r>
      <w:r>
        <w:rPr>
          <w:rFonts w:ascii="Arial" w:hAnsi="Arial" w:cs="Arial"/>
          <w:sz w:val="22"/>
          <w:szCs w:val="22"/>
          <w:lang w:val="pt-PT"/>
        </w:rPr>
        <w:t>DOS CASOS OMISSOS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lang w:val="pt-PT"/>
        </w:rPr>
        <w:t>art. 92, III</w:t>
      </w:r>
      <w:r>
        <w:rPr>
          <w:rStyle w:val="9"/>
          <w:rFonts w:ascii="Arial" w:hAnsi="Arial" w:cs="Arial"/>
          <w:sz w:val="22"/>
          <w:szCs w:val="22"/>
          <w:lang w:val="pt-PT"/>
        </w:rPr>
        <w:fldChar w:fldCharType="end"/>
      </w:r>
      <w:r>
        <w:rPr>
          <w:rFonts w:ascii="Arial" w:hAnsi="Arial" w:cs="Arial"/>
          <w:sz w:val="22"/>
          <w:szCs w:val="22"/>
          <w:lang w:val="pt-PT"/>
        </w:rPr>
        <w:t>)</w:t>
      </w:r>
    </w:p>
    <w:p>
      <w:pPr>
        <w:pStyle w:val="19"/>
        <w:numPr>
          <w:ilvl w:val="1"/>
          <w:numId w:val="3"/>
        </w:numPr>
        <w:tabs>
          <w:tab w:val="left" w:pos="426"/>
        </w:tabs>
        <w:ind w:left="0" w:firstLine="0"/>
        <w:jc w:val="both"/>
        <w:rPr>
          <w:rFonts w:ascii="Arial" w:hAnsi="Arial" w:cs="Arial"/>
        </w:rPr>
      </w:pPr>
      <w:r>
        <w:rPr>
          <w:rFonts w:ascii="Arial" w:hAnsi="Arial" w:cs="Arial"/>
        </w:rPr>
        <w:t xml:space="preserve">Os casos omissos serão decididos pelo contratante, segundo as disposições contidas na Lei </w:t>
      </w:r>
      <w:r>
        <w:fldChar w:fldCharType="begin"/>
      </w:r>
      <w:r>
        <w:instrText xml:space="preserve"> HYPERLINK "http://www.planalto.gov.br/ccivil_03/_ato2019-2022/2021/lei/L14133.htm" </w:instrText>
      </w:r>
      <w:r>
        <w:fldChar w:fldCharType="separate"/>
      </w:r>
      <w:r>
        <w:rPr>
          <w:rStyle w:val="9"/>
          <w:rFonts w:ascii="Arial" w:hAnsi="Arial" w:cs="Arial"/>
        </w:rPr>
        <w:t>nº 14.133, de 2021</w:t>
      </w:r>
      <w:r>
        <w:rPr>
          <w:rStyle w:val="9"/>
          <w:rFonts w:ascii="Arial" w:hAnsi="Arial" w:cs="Arial"/>
        </w:rPr>
        <w:fldChar w:fldCharType="end"/>
      </w:r>
      <w:r>
        <w:rPr>
          <w:rFonts w:ascii="Arial" w:hAnsi="Arial" w:cs="Arial"/>
        </w:rPr>
        <w:t xml:space="preserve">, e </w:t>
      </w:r>
      <w:r>
        <w:rPr>
          <w:rFonts w:ascii="Arial" w:hAnsi="Arial" w:cs="Arial"/>
          <w:lang w:val="pt-BR"/>
        </w:rPr>
        <w:t>demais</w:t>
      </w:r>
      <w:r>
        <w:rPr>
          <w:rFonts w:ascii="Arial" w:hAnsi="Arial" w:cs="Arial"/>
        </w:rPr>
        <w:t xml:space="preserve"> normas federais aplicáveis e, subsidiariamente, segundo as disposições contidas na </w:t>
      </w:r>
      <w:r>
        <w:fldChar w:fldCharType="begin"/>
      </w:r>
      <w:r>
        <w:instrText xml:space="preserve"> HYPERLINK "https://www.planalto.gov.br/ccivil_03/leis/l8078compilado.htm" </w:instrText>
      </w:r>
      <w:r>
        <w:fldChar w:fldCharType="separate"/>
      </w:r>
      <w:r>
        <w:rPr>
          <w:rStyle w:val="9"/>
          <w:rFonts w:ascii="Arial" w:hAnsi="Arial" w:cs="Arial"/>
        </w:rPr>
        <w:t>Lei nº 8.078, de 1990 – Código de Defesa do Consumidor</w:t>
      </w:r>
      <w:r>
        <w:rPr>
          <w:rStyle w:val="9"/>
          <w:rFonts w:ascii="Arial" w:hAnsi="Arial" w:cs="Arial"/>
        </w:rPr>
        <w:fldChar w:fldCharType="end"/>
      </w:r>
      <w:r>
        <w:rPr>
          <w:rFonts w:ascii="Arial" w:hAnsi="Arial" w:cs="Arial"/>
        </w:rPr>
        <w:t xml:space="preserve"> – e normas e princípios gerais dos contratos.</w:t>
      </w:r>
    </w:p>
    <w:p>
      <w:pPr>
        <w:pStyle w:val="34"/>
        <w:numPr>
          <w:ilvl w:val="0"/>
          <w:numId w:val="3"/>
        </w:numPr>
        <w:tabs>
          <w:tab w:val="left" w:pos="284"/>
          <w:tab w:val="left" w:pos="993"/>
        </w:tabs>
        <w:spacing w:line="276" w:lineRule="auto"/>
        <w:ind w:left="0" w:firstLine="0"/>
        <w:rPr>
          <w:rFonts w:ascii="Arial" w:hAnsi="Arial" w:cs="Arial"/>
          <w:color w:val="FFFFFF" w:themeColor="background1"/>
          <w:sz w:val="22"/>
          <w:szCs w:val="22"/>
          <w14:textFill>
            <w14:solidFill>
              <w14:schemeClr w14:val="bg1"/>
            </w14:solidFill>
          </w14:textFill>
        </w:rPr>
      </w:pPr>
      <w:r>
        <w:rPr>
          <w:rFonts w:ascii="Arial" w:hAnsi="Arial" w:cs="Arial"/>
          <w:color w:val="FFFFFF" w:themeColor="background1"/>
          <w:sz w:val="22"/>
          <w:szCs w:val="22"/>
          <w14:textFill>
            <w14:solidFill>
              <w14:schemeClr w14:val="bg1"/>
            </w14:solidFill>
          </w14:textFill>
        </w:rPr>
        <w:t xml:space="preserve"> </w:t>
      </w:r>
      <w:r>
        <w:rPr>
          <w:rFonts w:ascii="Arial" w:hAnsi="Arial" w:cs="Arial"/>
          <w:sz w:val="22"/>
          <w:szCs w:val="22"/>
        </w:rPr>
        <w:t>CLÁUSULA DÉCIMA QUINTA – ALTERAÇÕES</w:t>
      </w:r>
    </w:p>
    <w:p>
      <w:pPr>
        <w:pStyle w:val="19"/>
        <w:numPr>
          <w:ilvl w:val="1"/>
          <w:numId w:val="3"/>
        </w:numPr>
        <w:tabs>
          <w:tab w:val="left" w:pos="426"/>
        </w:tabs>
        <w:ind w:left="0" w:firstLine="0"/>
        <w:jc w:val="both"/>
        <w:rPr>
          <w:rFonts w:ascii="Arial" w:hAnsi="Arial" w:cs="Arial"/>
          <w:color w:val="000000"/>
        </w:rPr>
      </w:pPr>
      <w:r>
        <w:rPr>
          <w:rFonts w:ascii="Arial" w:hAnsi="Arial" w:cs="Arial"/>
        </w:rPr>
        <w:t xml:space="preserve">Eventuais alterações </w:t>
      </w:r>
      <w:r>
        <w:rPr>
          <w:rFonts w:ascii="Arial" w:hAnsi="Arial" w:cs="Arial"/>
          <w:lang w:val="pt-BR"/>
        </w:rPr>
        <w:t>contratuais</w:t>
      </w:r>
      <w:r>
        <w:rPr>
          <w:rFonts w:ascii="Arial" w:hAnsi="Arial" w:cs="Arial"/>
        </w:rPr>
        <w:t xml:space="preserve"> reger-se-ão pela disciplina dos </w:t>
      </w:r>
      <w:r>
        <w:fldChar w:fldCharType="begin"/>
      </w:r>
      <w:r>
        <w:instrText xml:space="preserve"> HYPERLINK "http://www.planalto.gov.br/ccivil_03/_ato2019-2022/2021/lei/L14133.htm" \l "art124" </w:instrText>
      </w:r>
      <w:r>
        <w:fldChar w:fldCharType="separate"/>
      </w:r>
      <w:r>
        <w:rPr>
          <w:rStyle w:val="9"/>
          <w:rFonts w:ascii="Arial" w:hAnsi="Arial" w:cs="Arial"/>
        </w:rPr>
        <w:t>arts. 124 e seguintes da Lei nº 14.133, de 2021</w:t>
      </w:r>
      <w:r>
        <w:rPr>
          <w:rStyle w:val="9"/>
          <w:rFonts w:ascii="Arial" w:hAnsi="Arial" w:cs="Arial"/>
        </w:rPr>
        <w:fldChar w:fldCharType="end"/>
      </w:r>
      <w:r>
        <w:rPr>
          <w:rFonts w:ascii="Arial" w:hAnsi="Arial" w:cs="Arial"/>
        </w:rPr>
        <w:t>.</w:t>
      </w:r>
    </w:p>
    <w:p>
      <w:pPr>
        <w:pStyle w:val="19"/>
        <w:numPr>
          <w:ilvl w:val="1"/>
          <w:numId w:val="3"/>
        </w:numPr>
        <w:tabs>
          <w:tab w:val="left" w:pos="426"/>
        </w:tabs>
        <w:ind w:left="0" w:firstLine="0"/>
        <w:jc w:val="both"/>
        <w:rPr>
          <w:rFonts w:ascii="Arial" w:hAnsi="Arial" w:cs="Arial"/>
        </w:rPr>
      </w:pPr>
      <w:r>
        <w:rPr>
          <w:rFonts w:ascii="Arial" w:hAnsi="Arial" w:cs="Arial"/>
        </w:rPr>
        <w:t xml:space="preserve">O contratado é </w:t>
      </w:r>
      <w:r>
        <w:rPr>
          <w:rFonts w:ascii="Arial" w:hAnsi="Arial" w:cs="Arial"/>
          <w:lang w:val="pt-BR"/>
        </w:rPr>
        <w:t>obrigado</w:t>
      </w:r>
      <w:r>
        <w:rPr>
          <w:rFonts w:ascii="Arial" w:hAnsi="Arial" w:cs="Arial"/>
        </w:rPr>
        <w:t xml:space="preserve"> a aceitar, nas mesmas condições contratuais, os acréscimos ou supressões que se fizerem necessários, até o limite de 25% (vinte e cinco por cento) do valor inicial atualizado do contrato.</w:t>
      </w:r>
    </w:p>
    <w:p>
      <w:pPr>
        <w:pStyle w:val="19"/>
        <w:numPr>
          <w:ilvl w:val="1"/>
          <w:numId w:val="3"/>
        </w:numPr>
        <w:tabs>
          <w:tab w:val="left" w:pos="426"/>
        </w:tabs>
        <w:ind w:left="0" w:firstLine="0"/>
        <w:jc w:val="both"/>
        <w:rPr>
          <w:rFonts w:ascii="Arial" w:hAnsi="Arial" w:cs="Arial"/>
        </w:rPr>
      </w:pPr>
      <w:r>
        <w:rPr>
          <w:rFonts w:ascii="Arial" w:hAnsi="Arial" w:cs="Arial"/>
        </w:rPr>
        <w:t xml:space="preserve">As alterações contratuais deverão ser promovidas mediante celebração de termo aditivo, submetido à prévia aprovação da consultoria jurídica do contratante, salvo nos casos de justificada necessidade de </w:t>
      </w:r>
      <w:r>
        <w:rPr>
          <w:rFonts w:ascii="Arial" w:hAnsi="Arial" w:cs="Arial"/>
          <w:lang w:val="pt-BR"/>
        </w:rPr>
        <w:t>antecipação</w:t>
      </w:r>
      <w:r>
        <w:rPr>
          <w:rFonts w:ascii="Arial" w:hAnsi="Arial" w:cs="Arial"/>
        </w:rPr>
        <w:t xml:space="preserve"> de seus efeitos, hipótese em que a formalização do aditivo deverá ocorrer no prazo máximo de 1 (um) mês (art. 132 da Lei nº 14.133, de 2021).</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Registros que não caracterizam alteração do contrato podem ser realizados por simples apostila, dispensada a celebração de termo aditivo, na forma do </w:t>
      </w:r>
      <w:r>
        <w:fldChar w:fldCharType="begin"/>
      </w:r>
      <w:r>
        <w:instrText xml:space="preserve"> HYPERLINK "http://www.planalto.gov.br/ccivil_03/_ato2019-2022/2021/lei/L14133.htm" \l "art136" </w:instrText>
      </w:r>
      <w:r>
        <w:fldChar w:fldCharType="separate"/>
      </w:r>
      <w:r>
        <w:rPr>
          <w:rStyle w:val="9"/>
          <w:rFonts w:ascii="Arial" w:hAnsi="Arial" w:cs="Arial"/>
        </w:rPr>
        <w:t>art. 136 da Lei nº 14.133, de 2021</w:t>
      </w:r>
      <w:r>
        <w:rPr>
          <w:rStyle w:val="9"/>
          <w:rFonts w:ascii="Arial" w:hAnsi="Arial" w:cs="Arial"/>
        </w:rPr>
        <w:fldChar w:fldCharType="end"/>
      </w:r>
      <w:r>
        <w:rPr>
          <w:rFonts w:ascii="Arial" w:hAnsi="Arial" w:cs="Arial"/>
        </w:rPr>
        <w:t xml:space="preserve">. </w:t>
      </w:r>
    </w:p>
    <w:p>
      <w:pPr>
        <w:pStyle w:val="44"/>
        <w:numPr>
          <w:ilvl w:val="0"/>
          <w:numId w:val="3"/>
        </w:numPr>
        <w:rPr>
          <w:color w:val="FFFFFF" w:themeColor="background1"/>
          <w:sz w:val="22"/>
          <w:szCs w:val="22"/>
          <w14:textFill>
            <w14:solidFill>
              <w14:schemeClr w14:val="bg1"/>
            </w14:solidFill>
          </w14:textFill>
        </w:rPr>
      </w:pPr>
      <w:r>
        <w:rPr>
          <w:sz w:val="22"/>
          <w:szCs w:val="22"/>
        </w:rPr>
        <w:t>CLÁUSULA DÉCIMA SEXTA – PUBLICAÇÃO</w:t>
      </w:r>
    </w:p>
    <w:p>
      <w:pPr>
        <w:pStyle w:val="19"/>
        <w:numPr>
          <w:ilvl w:val="1"/>
          <w:numId w:val="3"/>
        </w:numPr>
        <w:tabs>
          <w:tab w:val="left" w:pos="426"/>
        </w:tabs>
        <w:ind w:left="0" w:firstLine="0"/>
        <w:jc w:val="both"/>
        <w:rPr>
          <w:rFonts w:ascii="Arial" w:hAnsi="Arial" w:cs="Arial"/>
        </w:rPr>
      </w:pPr>
      <w:r>
        <w:rPr>
          <w:rFonts w:ascii="Arial" w:hAnsi="Arial" w:cs="Arial"/>
        </w:rPr>
        <w:t xml:space="preserve">Incumbirá ao contratante divulgar o presente instrumento no Portal Nacional de Contratações Públicas (PNCP), na forma prevista no </w:t>
      </w:r>
      <w:r>
        <w:fldChar w:fldCharType="begin"/>
      </w:r>
      <w:r>
        <w:instrText xml:space="preserve"> HYPERLINK "http://www.planalto.gov.br/ccivil_03/_ato2019-2022/2021/lei/L14133.htm" \l "art94" </w:instrText>
      </w:r>
      <w:r>
        <w:fldChar w:fldCharType="separate"/>
      </w:r>
      <w:r>
        <w:rPr>
          <w:rStyle w:val="9"/>
          <w:rFonts w:ascii="Arial" w:hAnsi="Arial" w:cs="Arial"/>
        </w:rPr>
        <w:t>art. 94 da Lei 14.133, de 2021</w:t>
      </w:r>
      <w:r>
        <w:rPr>
          <w:rStyle w:val="9"/>
          <w:rFonts w:ascii="Arial" w:hAnsi="Arial" w:cs="Arial"/>
        </w:rPr>
        <w:fldChar w:fldCharType="end"/>
      </w:r>
      <w:r>
        <w:rPr>
          <w:rFonts w:ascii="Arial" w:hAnsi="Arial" w:cs="Arial"/>
        </w:rPr>
        <w:t xml:space="preserve">, bem como no respectivo sítio oficial na Internet, em atenção ao art. 91, </w:t>
      </w:r>
      <w:r>
        <w:rPr>
          <w:rFonts w:ascii="Arial" w:hAnsi="Arial" w:cs="Arial"/>
          <w:i/>
        </w:rPr>
        <w:t>caput,</w:t>
      </w:r>
      <w:r>
        <w:rPr>
          <w:rFonts w:ascii="Arial" w:hAnsi="Arial" w:cs="Arial"/>
        </w:rPr>
        <w:t xml:space="preserve"> da Lei n.º 14.133, de 2021, e ao </w:t>
      </w:r>
      <w:r>
        <w:fldChar w:fldCharType="begin"/>
      </w:r>
      <w:r>
        <w:instrText xml:space="preserve"> HYPERLINK "https://www.planalto.gov.br/ccivil_03/_ato2011-2014/2011/lei/l12527.htm" \l "art8§2" </w:instrText>
      </w:r>
      <w:r>
        <w:fldChar w:fldCharType="separate"/>
      </w:r>
      <w:r>
        <w:rPr>
          <w:rStyle w:val="9"/>
          <w:rFonts w:ascii="Arial" w:hAnsi="Arial" w:cs="Arial"/>
        </w:rPr>
        <w:t>art. 8º, §2º, da Lei n. 12.527, de 2011</w:t>
      </w:r>
      <w:r>
        <w:rPr>
          <w:rStyle w:val="9"/>
          <w:rFonts w:ascii="Arial" w:hAnsi="Arial" w:cs="Arial"/>
        </w:rPr>
        <w:fldChar w:fldCharType="end"/>
      </w:r>
      <w:r>
        <w:rPr>
          <w:rFonts w:ascii="Arial" w:hAnsi="Arial" w:cs="Arial"/>
        </w:rPr>
        <w:t xml:space="preserve">, c/c </w:t>
      </w:r>
      <w:r>
        <w:fldChar w:fldCharType="begin"/>
      </w:r>
      <w:r>
        <w:instrText xml:space="preserve"> HYPERLINK "https://www.planalto.gov.br/ccivil_03/_ato2011-2014/2012/decreto/d7724.htm" \l "art7§3" </w:instrText>
      </w:r>
      <w:r>
        <w:fldChar w:fldCharType="separate"/>
      </w:r>
      <w:r>
        <w:rPr>
          <w:rStyle w:val="9"/>
          <w:rFonts w:ascii="Arial" w:hAnsi="Arial" w:cs="Arial"/>
        </w:rPr>
        <w:t>art. 7º, §3º, inciso V, do Decreto n. 7.724, de 2012</w:t>
      </w:r>
      <w:r>
        <w:rPr>
          <w:rStyle w:val="9"/>
          <w:rFonts w:ascii="Arial" w:hAnsi="Arial" w:cs="Arial"/>
        </w:rPr>
        <w:fldChar w:fldCharType="end"/>
      </w:r>
      <w:r>
        <w:rPr>
          <w:rFonts w:ascii="Arial" w:hAnsi="Arial" w:cs="Arial"/>
        </w:rPr>
        <w:t>.</w:t>
      </w:r>
    </w:p>
    <w:p>
      <w:pPr>
        <w:pStyle w:val="44"/>
        <w:numPr>
          <w:ilvl w:val="0"/>
          <w:numId w:val="3"/>
        </w:numPr>
        <w:rPr>
          <w:sz w:val="22"/>
          <w:szCs w:val="22"/>
        </w:rPr>
      </w:pPr>
      <w:r>
        <w:rPr>
          <w:sz w:val="22"/>
          <w:szCs w:val="22"/>
        </w:rPr>
        <w:t>- CLÁUSULA DÉCIMA SÉTIMA– FORO (</w:t>
      </w:r>
      <w:r>
        <w:fldChar w:fldCharType="begin"/>
      </w:r>
      <w:r>
        <w:instrText xml:space="preserve"> HYPERLINK "http://www.planalto.gov.br/ccivil_03/_ato2019-2022/2021/lei/L14133.htm" \l "art92§1" </w:instrText>
      </w:r>
      <w:r>
        <w:fldChar w:fldCharType="separate"/>
      </w:r>
      <w:r>
        <w:rPr>
          <w:rStyle w:val="9"/>
          <w:sz w:val="22"/>
          <w:szCs w:val="22"/>
        </w:rPr>
        <w:t>art. 92, §1º</w:t>
      </w:r>
      <w:r>
        <w:rPr>
          <w:rStyle w:val="9"/>
          <w:sz w:val="22"/>
          <w:szCs w:val="22"/>
        </w:rPr>
        <w:fldChar w:fldCharType="end"/>
      </w:r>
      <w:r>
        <w:rPr>
          <w:sz w:val="22"/>
          <w:szCs w:val="22"/>
        </w:rPr>
        <w:t>)</w:t>
      </w:r>
    </w:p>
    <w:p>
      <w:pPr>
        <w:pStyle w:val="19"/>
        <w:numPr>
          <w:ilvl w:val="1"/>
          <w:numId w:val="3"/>
        </w:numPr>
        <w:tabs>
          <w:tab w:val="left" w:pos="426"/>
        </w:tabs>
        <w:ind w:left="0" w:firstLine="0"/>
        <w:jc w:val="both"/>
        <w:rPr>
          <w:rFonts w:ascii="Arial" w:hAnsi="Arial" w:cs="Arial"/>
          <w:lang w:val="pt-BR"/>
        </w:rPr>
      </w:pPr>
      <w:r>
        <w:rPr>
          <w:rFonts w:ascii="Arial" w:hAnsi="Arial" w:cs="Arial"/>
        </w:rPr>
        <w:t xml:space="preserve">É eleito o Foro da comarca de Nova Friburgo/RJ para dirimir os litígios que decorrerem da execução deste Termo de Contrato que não possam ser compostos pela conciliação, conforme art. </w:t>
      </w:r>
      <w:r>
        <w:rPr>
          <w:rFonts w:ascii="Arial" w:hAnsi="Arial" w:cs="Arial"/>
          <w:lang w:val="pt-BR"/>
        </w:rPr>
        <w:t>92, §1º da Lei nº 14.133/21.</w:t>
      </w:r>
    </w:p>
    <w:p>
      <w:pPr>
        <w:pStyle w:val="19"/>
        <w:numPr>
          <w:ilvl w:val="1"/>
          <w:numId w:val="3"/>
        </w:numPr>
        <w:tabs>
          <w:tab w:val="left" w:pos="426"/>
        </w:tabs>
        <w:ind w:left="0" w:firstLine="0"/>
        <w:jc w:val="both"/>
        <w:rPr>
          <w:rFonts w:ascii="Arial" w:hAnsi="Arial" w:cs="Arial"/>
        </w:rPr>
      </w:pPr>
      <w:r>
        <w:rPr>
          <w:rFonts w:ascii="Arial" w:hAnsi="Arial" w:cs="Arial"/>
        </w:rPr>
        <w:t xml:space="preserve">Para firmeza e validade do pactuado, o presente Termo de Contrato foi lavrado em 03 (três) vias de igual teor, que, depois de lido e achado em ordem, vai assinado pelos contraentes. </w:t>
      </w:r>
    </w:p>
    <w:p>
      <w:pPr>
        <w:spacing w:before="120" w:after="120" w:line="276" w:lineRule="auto"/>
        <w:jc w:val="both"/>
        <w:rPr>
          <w:rFonts w:ascii="Arial" w:hAnsi="Arial" w:cs="Arial"/>
        </w:rPr>
      </w:pPr>
    </w:p>
    <w:p>
      <w:pPr>
        <w:spacing w:after="120" w:line="360" w:lineRule="auto"/>
        <w:ind w:right="-15"/>
        <w:jc w:val="right"/>
        <w:rPr>
          <w:rFonts w:ascii="Arial" w:hAnsi="Arial" w:cs="Arial"/>
        </w:rPr>
      </w:pPr>
      <w:r>
        <w:rPr>
          <w:rFonts w:ascii="Arial" w:hAnsi="Arial" w:cs="Arial"/>
        </w:rPr>
        <w:t>...........................................,  .......... de.......................................... de 2026.</w:t>
      </w:r>
    </w:p>
    <w:p>
      <w:pPr>
        <w:spacing w:after="120"/>
        <w:jc w:val="center"/>
        <w:rPr>
          <w:rFonts w:ascii="Arial" w:hAnsi="Arial" w:cs="Arial"/>
          <w:bCs/>
        </w:rPr>
      </w:pPr>
    </w:p>
    <w:p>
      <w:pPr>
        <w:spacing w:after="120"/>
        <w:jc w:val="center"/>
        <w:rPr>
          <w:rFonts w:ascii="Arial" w:hAnsi="Arial" w:cs="Arial"/>
          <w:bCs/>
        </w:rPr>
      </w:pPr>
      <w:r>
        <w:rPr>
          <w:rFonts w:ascii="Arial" w:hAnsi="Arial" w:cs="Arial"/>
          <w:bCs/>
        </w:rPr>
        <w:t>_________________________</w:t>
      </w:r>
    </w:p>
    <w:p>
      <w:pPr>
        <w:spacing w:after="120"/>
        <w:jc w:val="center"/>
        <w:rPr>
          <w:rFonts w:ascii="Arial" w:hAnsi="Arial" w:cs="Arial"/>
          <w:bCs/>
        </w:rPr>
      </w:pPr>
      <w:r>
        <w:rPr>
          <w:rFonts w:ascii="Arial" w:hAnsi="Arial" w:cs="Arial"/>
          <w:bCs/>
        </w:rPr>
        <w:t>Responsável legal da CONTRATANTE</w:t>
      </w:r>
    </w:p>
    <w:p>
      <w:pPr>
        <w:spacing w:after="120"/>
        <w:jc w:val="center"/>
        <w:rPr>
          <w:rFonts w:ascii="Arial" w:hAnsi="Arial" w:cs="Arial"/>
        </w:rPr>
      </w:pPr>
    </w:p>
    <w:p>
      <w:pPr>
        <w:spacing w:after="120"/>
        <w:jc w:val="center"/>
        <w:rPr>
          <w:rFonts w:ascii="Arial" w:hAnsi="Arial" w:cs="Arial"/>
        </w:rPr>
      </w:pPr>
      <w:r>
        <w:rPr>
          <w:rFonts w:ascii="Arial" w:hAnsi="Arial" w:cs="Arial"/>
        </w:rPr>
        <w:t>_________________________</w:t>
      </w:r>
    </w:p>
    <w:p>
      <w:pPr>
        <w:spacing w:after="120"/>
        <w:jc w:val="center"/>
        <w:rPr>
          <w:rFonts w:ascii="Arial" w:hAnsi="Arial" w:cs="Arial"/>
        </w:rPr>
      </w:pPr>
      <w:r>
        <w:rPr>
          <w:rFonts w:ascii="Arial" w:hAnsi="Arial" w:cs="Arial"/>
        </w:rPr>
        <w:t>Responsável legal da CONTRATADA</w:t>
      </w:r>
    </w:p>
    <w:p>
      <w:pPr>
        <w:spacing w:after="120"/>
        <w:jc w:val="both"/>
        <w:rPr>
          <w:rFonts w:ascii="Arial" w:hAnsi="Arial" w:cs="Arial"/>
        </w:rPr>
      </w:pPr>
    </w:p>
    <w:p>
      <w:pPr>
        <w:spacing w:after="120"/>
        <w:jc w:val="both"/>
        <w:rPr>
          <w:rFonts w:ascii="Arial" w:hAnsi="Arial" w:cs="Arial"/>
        </w:rPr>
      </w:pPr>
      <w:r>
        <w:rPr>
          <w:rFonts w:ascii="Arial" w:hAnsi="Arial" w:cs="Arial"/>
        </w:rPr>
        <w:t>TESTEMUNHAS:</w:t>
      </w:r>
    </w:p>
    <w:p>
      <w:pPr>
        <w:spacing w:after="120"/>
        <w:jc w:val="both"/>
        <w:rPr>
          <w:rFonts w:ascii="Arial" w:hAnsi="Arial" w:cs="Arial"/>
        </w:rPr>
      </w:pPr>
      <w:r>
        <w:rPr>
          <w:rFonts w:ascii="Arial" w:hAnsi="Arial" w:cs="Arial"/>
        </w:rPr>
        <w:t>1-</w:t>
      </w:r>
    </w:p>
    <w:p>
      <w:pPr>
        <w:spacing w:after="120"/>
        <w:jc w:val="both"/>
        <w:rPr>
          <w:rFonts w:ascii="Arial" w:hAnsi="Arial" w:cs="Arial"/>
        </w:rPr>
      </w:pPr>
      <w:r>
        <w:rPr>
          <w:rFonts w:ascii="Arial" w:hAnsi="Arial" w:cs="Arial"/>
        </w:rPr>
        <w:t>2-</w:t>
      </w:r>
    </w:p>
    <w:p>
      <w:pPr>
        <w:spacing w:after="120"/>
        <w:jc w:val="both"/>
        <w:rPr>
          <w:rFonts w:ascii="Arial" w:hAnsi="Arial" w:cs="Arial"/>
        </w:rPr>
      </w:pPr>
    </w:p>
    <w:sectPr>
      <w:headerReference r:id="rId5" w:type="first"/>
      <w:footerReference r:id="rId8" w:type="first"/>
      <w:headerReference r:id="rId3" w:type="default"/>
      <w:footerReference r:id="rId6" w:type="default"/>
      <w:headerReference r:id="rId4" w:type="even"/>
      <w:footerReference r:id="rId7" w:type="even"/>
      <w:pgSz w:w="11910" w:h="16840"/>
      <w:pgMar w:top="1418" w:right="1418" w:bottom="1418" w:left="1418" w:header="64" w:footer="68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Ecofont_Spranq_eco_Sans">
    <w:altName w:val="Cambria"/>
    <w:panose1 w:val="00000000000000000000"/>
    <w:charset w:val="00"/>
    <w:family w:val="swiss"/>
    <w:pitch w:val="default"/>
    <w:sig w:usb0="00000000" w:usb1="00000000" w:usb2="00000000" w:usb3="00000000" w:csb0="00000001" w:csb1="00000000"/>
  </w:font>
  <w:font w:name="Cambria">
    <w:panose1 w:val="02040503050406030204"/>
    <w:charset w:val="00"/>
    <w:family w:val="auto"/>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Azo Sans Md">
    <w:panose1 w:val="02000000000000000000"/>
    <w:charset w:val="00"/>
    <w:family w:val="modern"/>
    <w:pitch w:val="default"/>
    <w:sig w:usb0="00000007" w:usb1="00000000" w:usb2="00000000" w:usb3="00000000" w:csb0="2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rPr>
        <w:rFonts w:ascii="Azo Sans Md" w:hAnsi="Azo Sans Md"/>
        <w:b/>
        <w:bCs/>
        <w:color w:val="000000"/>
        <w:sz w:val="18"/>
        <w:szCs w:val="18"/>
      </w:rPr>
    </w:pPr>
  </w:p>
  <w:p>
    <w:pPr>
      <w:pStyle w:val="15"/>
      <w:jc w:val="center"/>
      <w:rPr>
        <w:rFonts w:ascii="Arial" w:hAnsi="Arial" w:cs="Arial"/>
        <w:color w:val="000000"/>
        <w:sz w:val="18"/>
        <w:szCs w:val="18"/>
      </w:rPr>
    </w:pPr>
    <w:r>
      <w:rPr>
        <w:rFonts w:ascii="Arial" w:hAnsi="Arial" w:cs="Arial"/>
        <w:color w:val="000000"/>
        <w:sz w:val="18"/>
        <w:szCs w:val="18"/>
      </w:rPr>
      <w:t>Av. Alberto Braune, nº 224 – sobreloja – Centro – Nova Friburgo – RJ</w:t>
    </w:r>
  </w:p>
  <w:p>
    <w:pPr>
      <w:pStyle w:val="15"/>
      <w:jc w:val="center"/>
      <w:rPr>
        <w:rFonts w:ascii="Arial" w:hAnsi="Arial" w:cs="Arial"/>
        <w:color w:val="000000"/>
        <w:sz w:val="18"/>
        <w:szCs w:val="18"/>
      </w:rPr>
    </w:pPr>
    <w:r>
      <w:rPr>
        <w:rFonts w:ascii="Arial" w:hAnsi="Arial" w:cs="Arial"/>
        <w:color w:val="000000"/>
        <w:sz w:val="18"/>
        <w:szCs w:val="18"/>
      </w:rPr>
      <w:t xml:space="preserve">CNPJ: 28.606.630/0001- 23 - e-mail: </w:t>
    </w:r>
    <w:r>
      <w:fldChar w:fldCharType="begin"/>
    </w:r>
    <w:r>
      <w:instrText xml:space="preserve"> HYPERLINK "mailto:pregaoeletronico.friburgo@gmail.com" </w:instrText>
    </w:r>
    <w:r>
      <w:fldChar w:fldCharType="separate"/>
    </w:r>
    <w:r>
      <w:rPr>
        <w:rStyle w:val="9"/>
        <w:rFonts w:hint="default" w:ascii="Arial" w:hAnsi="Arial" w:cs="Arial"/>
        <w:sz w:val="18"/>
        <w:szCs w:val="18"/>
        <w:lang w:val="pt-BR"/>
      </w:rPr>
      <w:t>licitacaopmnf</w:t>
    </w:r>
    <w:r>
      <w:rPr>
        <w:rStyle w:val="9"/>
        <w:rFonts w:ascii="Arial" w:hAnsi="Arial" w:cs="Arial"/>
        <w:sz w:val="18"/>
        <w:szCs w:val="18"/>
      </w:rPr>
      <w:t>@gmail.com</w:t>
    </w:r>
    <w:r>
      <w:rPr>
        <w:rStyle w:val="9"/>
        <w:rFonts w:ascii="Arial" w:hAnsi="Arial" w:cs="Arial"/>
        <w:sz w:val="18"/>
        <w:szCs w:val="18"/>
      </w:rPr>
      <w:fldChar w:fldCharType="end"/>
    </w:r>
    <w:r>
      <w:rPr>
        <w:rFonts w:ascii="Arial" w:hAnsi="Arial" w:cs="Arial"/>
        <w:color w:val="000000"/>
        <w:sz w:val="18"/>
        <w:szCs w:val="18"/>
      </w:rPr>
      <w:t xml:space="preserve"> – Telefone: (22) 2525-9100 – </w:t>
    </w:r>
  </w:p>
  <w:p>
    <w:pPr>
      <w:pStyle w:val="15"/>
      <w:jc w:val="center"/>
      <w:rPr>
        <w:rFonts w:ascii="Arial" w:hAnsi="Arial" w:cs="Arial"/>
        <w:color w:val="000000"/>
        <w:sz w:val="18"/>
        <w:szCs w:val="18"/>
      </w:rPr>
    </w:pPr>
    <w:r>
      <w:rPr>
        <w:rFonts w:ascii="Arial" w:hAnsi="Arial" w:cs="Arial"/>
        <w:color w:val="000000"/>
        <w:sz w:val="18"/>
        <w:szCs w:val="18"/>
      </w:rPr>
      <w:t>(22) 2525-9101</w:t>
    </w:r>
  </w:p>
  <w:p>
    <w:pPr>
      <w:pStyle w:val="15"/>
      <w:jc w:val="center"/>
      <w:rPr>
        <w:rFonts w:ascii="Arial" w:hAnsi="Arial" w:cs="Arial"/>
        <w:color w:val="000000"/>
        <w:sz w:val="18"/>
        <w:szCs w:val="18"/>
      </w:rPr>
    </w:pPr>
  </w:p>
  <w:p>
    <w:pPr>
      <w:pStyle w:val="15"/>
      <w:jc w:val="right"/>
      <w:rPr>
        <w:rFonts w:ascii="Arial" w:hAnsi="Arial" w:cs="Arial"/>
        <w:sz w:val="18"/>
        <w:szCs w:val="18"/>
      </w:rPr>
    </w:pPr>
    <w:r>
      <w:rPr>
        <w:rFonts w:ascii="Arial" w:hAnsi="Arial" w:cs="Arial"/>
        <w:color w:val="000000"/>
        <w:sz w:val="18"/>
        <w:szCs w:val="18"/>
      </w:rPr>
      <w:t xml:space="preserve">Página </w:t>
    </w:r>
    <w:r>
      <w:rPr>
        <w:rFonts w:ascii="Arial" w:hAnsi="Arial" w:cs="Arial"/>
        <w:color w:val="000000"/>
        <w:sz w:val="18"/>
        <w:szCs w:val="18"/>
      </w:rPr>
      <w:fldChar w:fldCharType="begin"/>
    </w:r>
    <w:r>
      <w:rPr>
        <w:rFonts w:ascii="Arial" w:hAnsi="Arial" w:cs="Arial"/>
        <w:color w:val="000000"/>
        <w:sz w:val="18"/>
        <w:szCs w:val="18"/>
      </w:rPr>
      <w:instrText xml:space="preserve">PAGE  \* Arabic  \* MERGEFORMAT</w:instrText>
    </w:r>
    <w:r>
      <w:rPr>
        <w:rFonts w:ascii="Arial" w:hAnsi="Arial" w:cs="Arial"/>
        <w:color w:val="000000"/>
        <w:sz w:val="18"/>
        <w:szCs w:val="18"/>
      </w:rPr>
      <w:fldChar w:fldCharType="separate"/>
    </w:r>
    <w:r>
      <w:rPr>
        <w:rFonts w:ascii="Arial" w:hAnsi="Arial" w:cs="Arial"/>
        <w:color w:val="000000"/>
        <w:sz w:val="18"/>
        <w:szCs w:val="18"/>
      </w:rPr>
      <w:t>1</w:t>
    </w:r>
    <w:r>
      <w:rPr>
        <w:rFonts w:ascii="Arial" w:hAnsi="Arial" w:cs="Arial"/>
        <w:color w:val="000000"/>
        <w:sz w:val="18"/>
        <w:szCs w:val="18"/>
      </w:rPr>
      <w:fldChar w:fldCharType="end"/>
    </w:r>
    <w:r>
      <w:rPr>
        <w:rFonts w:ascii="Arial" w:hAnsi="Arial" w:cs="Arial"/>
        <w:color w:val="000000"/>
        <w:sz w:val="18"/>
        <w:szCs w:val="18"/>
      </w:rPr>
      <w:t xml:space="preserve"> de </w:t>
    </w:r>
    <w:r>
      <w:rPr>
        <w:rFonts w:ascii="Arial" w:hAnsi="Arial" w:cs="Arial"/>
        <w:color w:val="000000"/>
        <w:sz w:val="18"/>
        <w:szCs w:val="18"/>
      </w:rPr>
      <w:fldChar w:fldCharType="begin"/>
    </w:r>
    <w:r>
      <w:rPr>
        <w:rFonts w:ascii="Arial" w:hAnsi="Arial" w:cs="Arial"/>
        <w:color w:val="000000"/>
        <w:sz w:val="18"/>
        <w:szCs w:val="18"/>
      </w:rPr>
      <w:instrText xml:space="preserve">NUMPAGES \ * Arábico \ * MERGEFORMAT</w:instrText>
    </w:r>
    <w:r>
      <w:rPr>
        <w:rFonts w:ascii="Arial" w:hAnsi="Arial" w:cs="Arial"/>
        <w:color w:val="000000"/>
        <w:sz w:val="18"/>
        <w:szCs w:val="18"/>
      </w:rPr>
      <w:fldChar w:fldCharType="separate"/>
    </w:r>
    <w:r>
      <w:rPr>
        <w:rFonts w:ascii="Arial" w:hAnsi="Arial" w:cs="Arial"/>
        <w:color w:val="000000"/>
        <w:sz w:val="18"/>
        <w:szCs w:val="18"/>
      </w:rPr>
      <w:t>4</w:t>
    </w:r>
    <w:r>
      <w:rPr>
        <w:rFonts w:ascii="Arial" w:hAnsi="Arial" w:cs="Arial"/>
        <w:color w:val="000000"/>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left="-440" w:leftChars="-200" w:firstLine="0" w:firstLineChars="0"/>
      <w:rPr>
        <w:rFonts w:ascii="Times New Roman" w:hAnsi="Times New Roman" w:eastAsia="Times New Roman" w:cs="Times New Roman"/>
        <w:sz w:val="28"/>
        <w:szCs w:val="20"/>
        <w:lang w:val="pt-BR" w:eastAsia="zh-CN"/>
      </w:rPr>
    </w:pPr>
    <w:r>
      <w:rPr>
        <w:rFonts w:ascii="Times New Roman" w:hAnsi="Times New Roman" w:eastAsia="Times New Roman" w:cs="Times New Roman"/>
        <w:sz w:val="28"/>
        <w:szCs w:val="20"/>
        <w:lang w:val="pt-BR" w:eastAsia="zh-CN"/>
      </w:rPr>
      <w:drawing>
        <wp:inline distT="0" distB="0" distL="114300" distR="114300">
          <wp:extent cx="5723255" cy="903605"/>
          <wp:effectExtent l="0" t="0" r="0" b="0"/>
          <wp:docPr id="1" name="Imagem 1" descr="Secretaria de Infraestrutura e Ob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Secretaria de Infraestrutura e Obras"/>
                  <pic:cNvPicPr>
                    <a:picLocks noChangeAspect="1"/>
                  </pic:cNvPicPr>
                </pic:nvPicPr>
                <pic:blipFill>
                  <a:blip r:embed="rId1"/>
                  <a:stretch>
                    <a:fillRect/>
                  </a:stretch>
                </pic:blipFill>
                <pic:spPr>
                  <a:xfrm>
                    <a:off x="0" y="0"/>
                    <a:ext cx="5723255" cy="903605"/>
                  </a:xfrm>
                  <a:prstGeom prst="rect">
                    <a:avLst/>
                  </a:prstGeom>
                </pic:spPr>
              </pic:pic>
            </a:graphicData>
          </a:graphic>
        </wp:inline>
      </w:drawing>
    </w:r>
  </w:p>
  <w:p>
    <w:pPr>
      <w:ind w:left="426" w:right="-17"/>
      <w:jc w:val="right"/>
      <w:rPr>
        <w:rFonts w:ascii="Arial" w:hAnsi="Arial" w:cs="Arial"/>
        <w:b/>
        <w:lang w:val="pt-BR"/>
      </w:rPr>
    </w:pPr>
    <w:r>
      <w:rPr>
        <w:rFonts w:ascii="Arial" w:hAnsi="Arial" w:cs="Arial"/>
        <w:b/>
        <w:lang w:val="pt-BR"/>
      </w:rPr>
      <w:t xml:space="preserve">TERMO DE CONTRATO ADMINISTRATIVO </w:t>
    </w:r>
    <w:r>
      <w:rPr>
        <w:rFonts w:ascii="Arial" w:hAnsi="Arial" w:cs="Arial"/>
        <w:b/>
        <w:color w:val="FF0000"/>
        <w:lang w:val="pt-BR"/>
      </w:rPr>
      <w:t>Nº XXXX/XXXX</w:t>
    </w: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E88A49"/>
    <w:multiLevelType w:val="singleLevel"/>
    <w:tmpl w:val="93E88A49"/>
    <w:lvl w:ilvl="0" w:tentative="0">
      <w:start w:val="2"/>
      <w:numFmt w:val="decimal"/>
      <w:lvlText w:val="%1"/>
      <w:lvlJc w:val="left"/>
    </w:lvl>
  </w:abstractNum>
  <w:abstractNum w:abstractNumId="1">
    <w:nsid w:val="0299B3C5"/>
    <w:multiLevelType w:val="multilevel"/>
    <w:tmpl w:val="0299B3C5"/>
    <w:lvl w:ilvl="0" w:tentative="0">
      <w:start w:val="1"/>
      <w:numFmt w:val="lowerLetter"/>
      <w:lvlText w:val="%1)"/>
      <w:lvlJc w:val="left"/>
      <w:pPr>
        <w:tabs>
          <w:tab w:val="left" w:pos="0"/>
        </w:tabs>
        <w:ind w:left="1436" w:hanging="360"/>
      </w:pPr>
    </w:lvl>
    <w:lvl w:ilvl="1" w:tentative="0">
      <w:start w:val="1"/>
      <w:numFmt w:val="lowerLetter"/>
      <w:lvlText w:val="%2."/>
      <w:lvlJc w:val="left"/>
      <w:pPr>
        <w:tabs>
          <w:tab w:val="left" w:pos="0"/>
        </w:tabs>
        <w:ind w:left="2156" w:hanging="360"/>
      </w:pPr>
    </w:lvl>
    <w:lvl w:ilvl="2" w:tentative="0">
      <w:start w:val="1"/>
      <w:numFmt w:val="lowerRoman"/>
      <w:lvlText w:val="%3."/>
      <w:lvlJc w:val="right"/>
      <w:pPr>
        <w:tabs>
          <w:tab w:val="left" w:pos="0"/>
        </w:tabs>
        <w:ind w:left="2876" w:hanging="180"/>
      </w:pPr>
    </w:lvl>
    <w:lvl w:ilvl="3" w:tentative="0">
      <w:start w:val="1"/>
      <w:numFmt w:val="decimal"/>
      <w:lvlText w:val="%4."/>
      <w:lvlJc w:val="left"/>
      <w:pPr>
        <w:tabs>
          <w:tab w:val="left" w:pos="0"/>
        </w:tabs>
        <w:ind w:left="3596" w:hanging="360"/>
      </w:pPr>
    </w:lvl>
    <w:lvl w:ilvl="4" w:tentative="0">
      <w:start w:val="1"/>
      <w:numFmt w:val="lowerLetter"/>
      <w:lvlText w:val="%5."/>
      <w:lvlJc w:val="left"/>
      <w:pPr>
        <w:tabs>
          <w:tab w:val="left" w:pos="0"/>
        </w:tabs>
        <w:ind w:left="4316" w:hanging="360"/>
      </w:pPr>
    </w:lvl>
    <w:lvl w:ilvl="5" w:tentative="0">
      <w:start w:val="1"/>
      <w:numFmt w:val="lowerRoman"/>
      <w:lvlText w:val="%6."/>
      <w:lvlJc w:val="right"/>
      <w:pPr>
        <w:tabs>
          <w:tab w:val="left" w:pos="0"/>
        </w:tabs>
        <w:ind w:left="5036" w:hanging="180"/>
      </w:pPr>
    </w:lvl>
    <w:lvl w:ilvl="6" w:tentative="0">
      <w:start w:val="1"/>
      <w:numFmt w:val="decimal"/>
      <w:lvlText w:val="%7."/>
      <w:lvlJc w:val="left"/>
      <w:pPr>
        <w:tabs>
          <w:tab w:val="left" w:pos="0"/>
        </w:tabs>
        <w:ind w:left="5756" w:hanging="360"/>
      </w:pPr>
    </w:lvl>
    <w:lvl w:ilvl="7" w:tentative="0">
      <w:start w:val="1"/>
      <w:numFmt w:val="lowerLetter"/>
      <w:lvlText w:val="%8."/>
      <w:lvlJc w:val="left"/>
      <w:pPr>
        <w:tabs>
          <w:tab w:val="left" w:pos="0"/>
        </w:tabs>
        <w:ind w:left="6476" w:hanging="360"/>
      </w:pPr>
    </w:lvl>
    <w:lvl w:ilvl="8" w:tentative="0">
      <w:start w:val="1"/>
      <w:numFmt w:val="lowerRoman"/>
      <w:lvlText w:val="%9."/>
      <w:lvlJc w:val="right"/>
      <w:pPr>
        <w:tabs>
          <w:tab w:val="left" w:pos="0"/>
        </w:tabs>
        <w:ind w:left="7196" w:hanging="180"/>
      </w:pPr>
    </w:lvl>
  </w:abstractNum>
  <w:abstractNum w:abstractNumId="2">
    <w:nsid w:val="157018B4"/>
    <w:multiLevelType w:val="multilevel"/>
    <w:tmpl w:val="157018B4"/>
    <w:lvl w:ilvl="0" w:tentative="0">
      <w:start w:val="1"/>
      <w:numFmt w:val="lowerRoman"/>
      <w:lvlText w:val="%1."/>
      <w:lvlJc w:val="right"/>
      <w:pPr>
        <w:ind w:left="1287" w:hanging="360"/>
      </w:pPr>
    </w:lvl>
    <w:lvl w:ilvl="1" w:tentative="0">
      <w:start w:val="1"/>
      <w:numFmt w:val="decimal"/>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3">
    <w:nsid w:val="1BBD58D2"/>
    <w:multiLevelType w:val="multilevel"/>
    <w:tmpl w:val="1BBD58D2"/>
    <w:lvl w:ilvl="0" w:tentative="0">
      <w:start w:val="1"/>
      <w:numFmt w:val="decimal"/>
      <w:lvlText w:val="%1"/>
      <w:lvlJc w:val="left"/>
      <w:pPr>
        <w:ind w:left="360" w:hanging="360"/>
      </w:pPr>
      <w:rPr>
        <w:rFonts w:hint="default" w:ascii="Arial" w:hAnsi="Arial" w:cs="Arial"/>
        <w:color w:val="auto"/>
        <w:sz w:val="22"/>
        <w:szCs w:val="22"/>
      </w:rPr>
    </w:lvl>
    <w:lvl w:ilvl="1" w:tentative="0">
      <w:start w:val="1"/>
      <w:numFmt w:val="decimal"/>
      <w:isLgl/>
      <w:lvlText w:val="%1.%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4">
    <w:nsid w:val="1D5C100D"/>
    <w:multiLevelType w:val="multilevel"/>
    <w:tmpl w:val="1D5C100D"/>
    <w:lvl w:ilvl="0" w:tentative="0">
      <w:start w:val="4"/>
      <w:numFmt w:val="decimal"/>
      <w:pStyle w:val="43"/>
      <w:lvlText w:val="%1."/>
      <w:lvlJc w:val="left"/>
      <w:pPr>
        <w:ind w:left="360" w:hanging="360"/>
      </w:pPr>
      <w:rPr>
        <w:rFonts w:hint="default"/>
        <w:b/>
        <w:color w:val="auto"/>
      </w:rPr>
    </w:lvl>
    <w:lvl w:ilvl="1" w:tentative="0">
      <w:start w:val="1"/>
      <w:numFmt w:val="decimal"/>
      <w:lvlText w:val="%1.%2."/>
      <w:lvlJc w:val="left"/>
      <w:pPr>
        <w:ind w:left="716" w:hanging="432"/>
      </w:pPr>
      <w:rPr>
        <w:rFonts w:hint="default"/>
        <w:b w:val="0"/>
        <w:i w:val="0"/>
        <w:strike w:val="0"/>
        <w:dstrike w:val="0"/>
        <w:color w:val="auto"/>
        <w:u w:val="none"/>
      </w:rPr>
    </w:lvl>
    <w:lvl w:ilvl="2" w:tentative="0">
      <w:start w:val="1"/>
      <w:numFmt w:val="decimal"/>
      <w:lvlText w:val="%1.%2.%3."/>
      <w:lvlJc w:val="left"/>
      <w:pPr>
        <w:ind w:left="930" w:hanging="504"/>
      </w:pPr>
      <w:rPr>
        <w:rFonts w:hint="default"/>
        <w:b w:val="0"/>
        <w:i w:val="0"/>
        <w:color w:val="auto"/>
      </w:rPr>
    </w:lvl>
    <w:lvl w:ilvl="3" w:tentative="0">
      <w:start w:val="1"/>
      <w:numFmt w:val="decimal"/>
      <w:lvlText w:val="%1.%2.%3.%4."/>
      <w:lvlJc w:val="left"/>
      <w:pPr>
        <w:ind w:left="249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5">
    <w:nsid w:val="50396F0F"/>
    <w:multiLevelType w:val="multilevel"/>
    <w:tmpl w:val="50396F0F"/>
    <w:lvl w:ilvl="0" w:tentative="0">
      <w:start w:val="1"/>
      <w:numFmt w:val="decimal"/>
      <w:lvlText w:val="%1"/>
      <w:lvlJc w:val="left"/>
      <w:pPr>
        <w:ind w:left="360" w:hanging="360"/>
      </w:pPr>
      <w:rPr>
        <w:rFonts w:hint="default"/>
      </w:rPr>
    </w:lvl>
    <w:lvl w:ilvl="1" w:tentative="0">
      <w:start w:val="1"/>
      <w:numFmt w:val="lowerLetter"/>
      <w:lvlText w:val="%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6">
    <w:nsid w:val="7EA9AFCF"/>
    <w:multiLevelType w:val="multilevel"/>
    <w:tmpl w:val="7EA9AFCF"/>
    <w:lvl w:ilvl="0" w:tentative="0">
      <w:start w:val="19"/>
      <w:numFmt w:val="decimal"/>
      <w:lvlText w:val="%1."/>
      <w:lvlJc w:val="left"/>
      <w:pPr>
        <w:tabs>
          <w:tab w:val="left" w:pos="0"/>
        </w:tabs>
        <w:ind w:left="360" w:hanging="360"/>
      </w:pPr>
    </w:lvl>
    <w:lvl w:ilvl="1" w:tentative="0">
      <w:start w:val="1"/>
      <w:numFmt w:val="decimal"/>
      <w:lvlText w:val="%1.%2."/>
      <w:lvlJc w:val="left"/>
      <w:pPr>
        <w:tabs>
          <w:tab w:val="left" w:pos="0"/>
        </w:tabs>
        <w:ind w:left="792" w:hanging="432"/>
      </w:pPr>
      <w:rPr>
        <w:b w:val="0"/>
        <w:i w:val="0"/>
      </w:rPr>
    </w:lvl>
    <w:lvl w:ilvl="2" w:tentative="0">
      <w:start w:val="1"/>
      <w:numFmt w:val="lowerLetter"/>
      <w:lvlText w:val="%3)"/>
      <w:lvlJc w:val="left"/>
      <w:pPr>
        <w:tabs>
          <w:tab w:val="left" w:pos="0"/>
        </w:tabs>
        <w:ind w:left="1224" w:hanging="504"/>
      </w:pPr>
      <w:rPr>
        <w:b w:val="0"/>
      </w:rPr>
    </w:lvl>
    <w:lvl w:ilvl="3" w:tentative="0">
      <w:start w:val="1"/>
      <w:numFmt w:val="decimal"/>
      <w:lvlText w:val="%1.%2.%3.%4."/>
      <w:lvlJc w:val="left"/>
      <w:pPr>
        <w:tabs>
          <w:tab w:val="left" w:pos="0"/>
        </w:tabs>
        <w:ind w:left="1728" w:hanging="648"/>
      </w:pPr>
    </w:lvl>
    <w:lvl w:ilvl="4" w:tentative="0">
      <w:start w:val="1"/>
      <w:numFmt w:val="decimal"/>
      <w:lvlText w:val="%1.%2.%3.%4.%5."/>
      <w:lvlJc w:val="left"/>
      <w:pPr>
        <w:tabs>
          <w:tab w:val="left" w:pos="0"/>
        </w:tabs>
        <w:ind w:left="2232" w:hanging="792"/>
      </w:pPr>
    </w:lvl>
    <w:lvl w:ilvl="5" w:tentative="0">
      <w:start w:val="1"/>
      <w:numFmt w:val="decimal"/>
      <w:lvlText w:val="%1.%2.%3.%4.%5.%6."/>
      <w:lvlJc w:val="left"/>
      <w:pPr>
        <w:tabs>
          <w:tab w:val="left" w:pos="0"/>
        </w:tabs>
        <w:ind w:left="2736" w:hanging="936"/>
      </w:pPr>
    </w:lvl>
    <w:lvl w:ilvl="6" w:tentative="0">
      <w:start w:val="1"/>
      <w:numFmt w:val="decimal"/>
      <w:lvlText w:val="%1.%2.%3.%4.%5.%6.%7."/>
      <w:lvlJc w:val="left"/>
      <w:pPr>
        <w:tabs>
          <w:tab w:val="left" w:pos="0"/>
        </w:tabs>
        <w:ind w:left="3240" w:hanging="1080"/>
      </w:pPr>
    </w:lvl>
    <w:lvl w:ilvl="7" w:tentative="0">
      <w:start w:val="1"/>
      <w:numFmt w:val="decimal"/>
      <w:lvlText w:val="%1.%2.%3.%4.%5.%6.%7.%8."/>
      <w:lvlJc w:val="left"/>
      <w:pPr>
        <w:tabs>
          <w:tab w:val="left" w:pos="0"/>
        </w:tabs>
        <w:ind w:left="3744" w:hanging="1224"/>
      </w:pPr>
    </w:lvl>
    <w:lvl w:ilvl="8" w:tentative="0">
      <w:start w:val="1"/>
      <w:numFmt w:val="decimal"/>
      <w:lvlText w:val="%1.%2.%3.%4.%5.%6.%7.%8.%9."/>
      <w:lvlJc w:val="left"/>
      <w:pPr>
        <w:tabs>
          <w:tab w:val="left" w:pos="0"/>
        </w:tabs>
        <w:ind w:left="4320" w:hanging="1440"/>
      </w:pPr>
    </w:lvl>
  </w:abstractNum>
  <w:num w:numId="1">
    <w:abstractNumId w:val="4"/>
  </w:num>
  <w:num w:numId="2">
    <w:abstractNumId w:val="0"/>
  </w:num>
  <w:num w:numId="3">
    <w:abstractNumId w:val="3"/>
  </w:num>
  <w:num w:numId="4">
    <w:abstractNumId w:val="6"/>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501"/>
    <w:rsid w:val="00004765"/>
    <w:rsid w:val="00007997"/>
    <w:rsid w:val="00010323"/>
    <w:rsid w:val="000137FD"/>
    <w:rsid w:val="00016803"/>
    <w:rsid w:val="000168E3"/>
    <w:rsid w:val="0001740F"/>
    <w:rsid w:val="000205DB"/>
    <w:rsid w:val="00043FA7"/>
    <w:rsid w:val="00055A35"/>
    <w:rsid w:val="00060815"/>
    <w:rsid w:val="00064A3F"/>
    <w:rsid w:val="000659B7"/>
    <w:rsid w:val="0007531B"/>
    <w:rsid w:val="00085E40"/>
    <w:rsid w:val="0008627F"/>
    <w:rsid w:val="00090A03"/>
    <w:rsid w:val="00090C31"/>
    <w:rsid w:val="00092735"/>
    <w:rsid w:val="00097D7B"/>
    <w:rsid w:val="000A1E64"/>
    <w:rsid w:val="000B23ED"/>
    <w:rsid w:val="000D17CB"/>
    <w:rsid w:val="000D45F1"/>
    <w:rsid w:val="000D6176"/>
    <w:rsid w:val="000E1E87"/>
    <w:rsid w:val="000E4CF2"/>
    <w:rsid w:val="000E4D70"/>
    <w:rsid w:val="000E6000"/>
    <w:rsid w:val="000E684C"/>
    <w:rsid w:val="000E6DAE"/>
    <w:rsid w:val="000E7913"/>
    <w:rsid w:val="000F0F17"/>
    <w:rsid w:val="000F2826"/>
    <w:rsid w:val="000F46E9"/>
    <w:rsid w:val="000F4D4D"/>
    <w:rsid w:val="00100FEB"/>
    <w:rsid w:val="0010179C"/>
    <w:rsid w:val="00102A53"/>
    <w:rsid w:val="001079D7"/>
    <w:rsid w:val="001149D8"/>
    <w:rsid w:val="001159AE"/>
    <w:rsid w:val="001272CC"/>
    <w:rsid w:val="00130DCF"/>
    <w:rsid w:val="00134FCE"/>
    <w:rsid w:val="00135F0B"/>
    <w:rsid w:val="0014449B"/>
    <w:rsid w:val="00147B9F"/>
    <w:rsid w:val="0015173F"/>
    <w:rsid w:val="0015751B"/>
    <w:rsid w:val="00165D70"/>
    <w:rsid w:val="001767E4"/>
    <w:rsid w:val="00181313"/>
    <w:rsid w:val="00185DBF"/>
    <w:rsid w:val="00187C1B"/>
    <w:rsid w:val="00193060"/>
    <w:rsid w:val="0019666A"/>
    <w:rsid w:val="001A0D41"/>
    <w:rsid w:val="001A1733"/>
    <w:rsid w:val="001B5037"/>
    <w:rsid w:val="001D1890"/>
    <w:rsid w:val="001D32DF"/>
    <w:rsid w:val="001D4AC3"/>
    <w:rsid w:val="001E0962"/>
    <w:rsid w:val="001E3568"/>
    <w:rsid w:val="001E6DD7"/>
    <w:rsid w:val="001F44F7"/>
    <w:rsid w:val="00204C8A"/>
    <w:rsid w:val="00205048"/>
    <w:rsid w:val="002218CE"/>
    <w:rsid w:val="002248AB"/>
    <w:rsid w:val="00227DC7"/>
    <w:rsid w:val="00230394"/>
    <w:rsid w:val="00231ABE"/>
    <w:rsid w:val="00243E36"/>
    <w:rsid w:val="00244CA9"/>
    <w:rsid w:val="00251867"/>
    <w:rsid w:val="002556A7"/>
    <w:rsid w:val="002573CE"/>
    <w:rsid w:val="00257889"/>
    <w:rsid w:val="00261F90"/>
    <w:rsid w:val="00264522"/>
    <w:rsid w:val="002663BD"/>
    <w:rsid w:val="00266B10"/>
    <w:rsid w:val="0027128E"/>
    <w:rsid w:val="00276B5D"/>
    <w:rsid w:val="0028199E"/>
    <w:rsid w:val="0028504B"/>
    <w:rsid w:val="00296174"/>
    <w:rsid w:val="002A4753"/>
    <w:rsid w:val="002A5731"/>
    <w:rsid w:val="002A7071"/>
    <w:rsid w:val="002B28F4"/>
    <w:rsid w:val="002B3DAB"/>
    <w:rsid w:val="002E0D02"/>
    <w:rsid w:val="002E43FD"/>
    <w:rsid w:val="002E71FD"/>
    <w:rsid w:val="002F2CC8"/>
    <w:rsid w:val="002F30A4"/>
    <w:rsid w:val="002F585C"/>
    <w:rsid w:val="00315F43"/>
    <w:rsid w:val="00320761"/>
    <w:rsid w:val="0032285B"/>
    <w:rsid w:val="00323F3D"/>
    <w:rsid w:val="00326DB2"/>
    <w:rsid w:val="003370B0"/>
    <w:rsid w:val="003378B0"/>
    <w:rsid w:val="00342284"/>
    <w:rsid w:val="003444FD"/>
    <w:rsid w:val="00347799"/>
    <w:rsid w:val="0035743C"/>
    <w:rsid w:val="003578AC"/>
    <w:rsid w:val="003649A2"/>
    <w:rsid w:val="00366D5F"/>
    <w:rsid w:val="00370B10"/>
    <w:rsid w:val="00374B3F"/>
    <w:rsid w:val="00380F2F"/>
    <w:rsid w:val="0038358C"/>
    <w:rsid w:val="00385663"/>
    <w:rsid w:val="00385B86"/>
    <w:rsid w:val="00390F82"/>
    <w:rsid w:val="003920AB"/>
    <w:rsid w:val="00392DE5"/>
    <w:rsid w:val="0039504F"/>
    <w:rsid w:val="003972BC"/>
    <w:rsid w:val="003A1163"/>
    <w:rsid w:val="003A3482"/>
    <w:rsid w:val="003B00FF"/>
    <w:rsid w:val="003B2A0D"/>
    <w:rsid w:val="003B4554"/>
    <w:rsid w:val="003B5284"/>
    <w:rsid w:val="003B53CC"/>
    <w:rsid w:val="003C14A5"/>
    <w:rsid w:val="003C15BE"/>
    <w:rsid w:val="003C1DC7"/>
    <w:rsid w:val="003E1F86"/>
    <w:rsid w:val="003E4A77"/>
    <w:rsid w:val="003F6F6E"/>
    <w:rsid w:val="00403108"/>
    <w:rsid w:val="0041063D"/>
    <w:rsid w:val="00410E3A"/>
    <w:rsid w:val="00413F35"/>
    <w:rsid w:val="00414E5D"/>
    <w:rsid w:val="00415976"/>
    <w:rsid w:val="00415C1A"/>
    <w:rsid w:val="00417717"/>
    <w:rsid w:val="00430C16"/>
    <w:rsid w:val="0043121B"/>
    <w:rsid w:val="00436587"/>
    <w:rsid w:val="00442048"/>
    <w:rsid w:val="0044502E"/>
    <w:rsid w:val="004549BE"/>
    <w:rsid w:val="00461F93"/>
    <w:rsid w:val="00466044"/>
    <w:rsid w:val="00466BF6"/>
    <w:rsid w:val="004735E6"/>
    <w:rsid w:val="0047582C"/>
    <w:rsid w:val="00475936"/>
    <w:rsid w:val="0048007A"/>
    <w:rsid w:val="004959AC"/>
    <w:rsid w:val="004A09DC"/>
    <w:rsid w:val="004A1537"/>
    <w:rsid w:val="004A20F0"/>
    <w:rsid w:val="004A30C1"/>
    <w:rsid w:val="004A7803"/>
    <w:rsid w:val="004B375B"/>
    <w:rsid w:val="004B61AB"/>
    <w:rsid w:val="004C1220"/>
    <w:rsid w:val="004D3E0A"/>
    <w:rsid w:val="004E079B"/>
    <w:rsid w:val="004E1FFC"/>
    <w:rsid w:val="004E221E"/>
    <w:rsid w:val="004E608B"/>
    <w:rsid w:val="005002F9"/>
    <w:rsid w:val="005041CA"/>
    <w:rsid w:val="0050609F"/>
    <w:rsid w:val="0050761F"/>
    <w:rsid w:val="00510C82"/>
    <w:rsid w:val="00515DDB"/>
    <w:rsid w:val="005241B8"/>
    <w:rsid w:val="005258A4"/>
    <w:rsid w:val="00532FA9"/>
    <w:rsid w:val="005466C3"/>
    <w:rsid w:val="00546D34"/>
    <w:rsid w:val="0055035E"/>
    <w:rsid w:val="00552CD7"/>
    <w:rsid w:val="005548E3"/>
    <w:rsid w:val="00557CD0"/>
    <w:rsid w:val="0056221F"/>
    <w:rsid w:val="00563586"/>
    <w:rsid w:val="00564A89"/>
    <w:rsid w:val="00571224"/>
    <w:rsid w:val="005722A3"/>
    <w:rsid w:val="00583909"/>
    <w:rsid w:val="00594591"/>
    <w:rsid w:val="005C402B"/>
    <w:rsid w:val="005D7CC0"/>
    <w:rsid w:val="005E2922"/>
    <w:rsid w:val="005E753D"/>
    <w:rsid w:val="005F5E8D"/>
    <w:rsid w:val="005F6177"/>
    <w:rsid w:val="00604469"/>
    <w:rsid w:val="00612436"/>
    <w:rsid w:val="006142F9"/>
    <w:rsid w:val="00614DC0"/>
    <w:rsid w:val="00617943"/>
    <w:rsid w:val="00617E05"/>
    <w:rsid w:val="00620E2E"/>
    <w:rsid w:val="00623F21"/>
    <w:rsid w:val="0062482D"/>
    <w:rsid w:val="006306EF"/>
    <w:rsid w:val="00633BD8"/>
    <w:rsid w:val="00637E49"/>
    <w:rsid w:val="00641674"/>
    <w:rsid w:val="00645026"/>
    <w:rsid w:val="00646682"/>
    <w:rsid w:val="006709DA"/>
    <w:rsid w:val="0067457F"/>
    <w:rsid w:val="00691421"/>
    <w:rsid w:val="006A1B6A"/>
    <w:rsid w:val="006B62AB"/>
    <w:rsid w:val="006C7188"/>
    <w:rsid w:val="006D48A5"/>
    <w:rsid w:val="006D4909"/>
    <w:rsid w:val="006D6562"/>
    <w:rsid w:val="006E5958"/>
    <w:rsid w:val="006E635F"/>
    <w:rsid w:val="006F0ECE"/>
    <w:rsid w:val="00702E9E"/>
    <w:rsid w:val="007168B3"/>
    <w:rsid w:val="0071720D"/>
    <w:rsid w:val="00722F56"/>
    <w:rsid w:val="007270C7"/>
    <w:rsid w:val="00735ADD"/>
    <w:rsid w:val="00741433"/>
    <w:rsid w:val="007476E1"/>
    <w:rsid w:val="0075018C"/>
    <w:rsid w:val="007506FB"/>
    <w:rsid w:val="0075652C"/>
    <w:rsid w:val="00763341"/>
    <w:rsid w:val="00773AA0"/>
    <w:rsid w:val="007767C7"/>
    <w:rsid w:val="00785644"/>
    <w:rsid w:val="00785D66"/>
    <w:rsid w:val="0079421E"/>
    <w:rsid w:val="00797F3F"/>
    <w:rsid w:val="007B0D84"/>
    <w:rsid w:val="007B28CD"/>
    <w:rsid w:val="007E7BBF"/>
    <w:rsid w:val="007F7B13"/>
    <w:rsid w:val="00807004"/>
    <w:rsid w:val="00814BB1"/>
    <w:rsid w:val="00814BDC"/>
    <w:rsid w:val="008233A0"/>
    <w:rsid w:val="008311C9"/>
    <w:rsid w:val="00831574"/>
    <w:rsid w:val="00837319"/>
    <w:rsid w:val="00837575"/>
    <w:rsid w:val="008375B8"/>
    <w:rsid w:val="00845043"/>
    <w:rsid w:val="00845367"/>
    <w:rsid w:val="008567D8"/>
    <w:rsid w:val="00857EE4"/>
    <w:rsid w:val="00860A90"/>
    <w:rsid w:val="00870B00"/>
    <w:rsid w:val="00872F10"/>
    <w:rsid w:val="008743A2"/>
    <w:rsid w:val="00874B70"/>
    <w:rsid w:val="008756B2"/>
    <w:rsid w:val="00876B97"/>
    <w:rsid w:val="008828B6"/>
    <w:rsid w:val="00884B47"/>
    <w:rsid w:val="00885008"/>
    <w:rsid w:val="00885E3B"/>
    <w:rsid w:val="0089518A"/>
    <w:rsid w:val="008A046D"/>
    <w:rsid w:val="008A31DA"/>
    <w:rsid w:val="008A72D1"/>
    <w:rsid w:val="008B0E02"/>
    <w:rsid w:val="008B1D7C"/>
    <w:rsid w:val="008B71AC"/>
    <w:rsid w:val="008C13A3"/>
    <w:rsid w:val="008C47CA"/>
    <w:rsid w:val="008C4D64"/>
    <w:rsid w:val="008C4FC6"/>
    <w:rsid w:val="008C6F60"/>
    <w:rsid w:val="008D3457"/>
    <w:rsid w:val="008D5F7A"/>
    <w:rsid w:val="008D78EA"/>
    <w:rsid w:val="008E1A25"/>
    <w:rsid w:val="008E4F62"/>
    <w:rsid w:val="008E5AD6"/>
    <w:rsid w:val="008E65D4"/>
    <w:rsid w:val="008E6D4F"/>
    <w:rsid w:val="008F5D23"/>
    <w:rsid w:val="0090165D"/>
    <w:rsid w:val="009039E8"/>
    <w:rsid w:val="009061B6"/>
    <w:rsid w:val="009063BB"/>
    <w:rsid w:val="009162EB"/>
    <w:rsid w:val="0092129B"/>
    <w:rsid w:val="009213D5"/>
    <w:rsid w:val="009327CB"/>
    <w:rsid w:val="009335AB"/>
    <w:rsid w:val="00941655"/>
    <w:rsid w:val="00944FFE"/>
    <w:rsid w:val="00954199"/>
    <w:rsid w:val="009553C6"/>
    <w:rsid w:val="00956E65"/>
    <w:rsid w:val="00971993"/>
    <w:rsid w:val="00972DD9"/>
    <w:rsid w:val="00974672"/>
    <w:rsid w:val="00974A4B"/>
    <w:rsid w:val="00975829"/>
    <w:rsid w:val="0097688D"/>
    <w:rsid w:val="0097702B"/>
    <w:rsid w:val="009872FB"/>
    <w:rsid w:val="009877CB"/>
    <w:rsid w:val="009A16F5"/>
    <w:rsid w:val="009B3712"/>
    <w:rsid w:val="009B3F0F"/>
    <w:rsid w:val="009C02ED"/>
    <w:rsid w:val="009C3548"/>
    <w:rsid w:val="009D2CA1"/>
    <w:rsid w:val="009F2F85"/>
    <w:rsid w:val="00A06D2F"/>
    <w:rsid w:val="00A111BA"/>
    <w:rsid w:val="00A14FF7"/>
    <w:rsid w:val="00A229E2"/>
    <w:rsid w:val="00A23D36"/>
    <w:rsid w:val="00A26E98"/>
    <w:rsid w:val="00A27B94"/>
    <w:rsid w:val="00A327A0"/>
    <w:rsid w:val="00A74974"/>
    <w:rsid w:val="00A75B6C"/>
    <w:rsid w:val="00A87002"/>
    <w:rsid w:val="00A92914"/>
    <w:rsid w:val="00A94653"/>
    <w:rsid w:val="00A96E16"/>
    <w:rsid w:val="00AA4EF9"/>
    <w:rsid w:val="00AC1FD2"/>
    <w:rsid w:val="00AC69AD"/>
    <w:rsid w:val="00AD022C"/>
    <w:rsid w:val="00AE2539"/>
    <w:rsid w:val="00AE7153"/>
    <w:rsid w:val="00AF4EE0"/>
    <w:rsid w:val="00AF5DD4"/>
    <w:rsid w:val="00AF6B88"/>
    <w:rsid w:val="00B0084D"/>
    <w:rsid w:val="00B01D5F"/>
    <w:rsid w:val="00B02294"/>
    <w:rsid w:val="00B03288"/>
    <w:rsid w:val="00B061E6"/>
    <w:rsid w:val="00B12062"/>
    <w:rsid w:val="00B13DC2"/>
    <w:rsid w:val="00B17BE8"/>
    <w:rsid w:val="00B25D0B"/>
    <w:rsid w:val="00B26F60"/>
    <w:rsid w:val="00B27105"/>
    <w:rsid w:val="00B30CA0"/>
    <w:rsid w:val="00B34CEA"/>
    <w:rsid w:val="00B35782"/>
    <w:rsid w:val="00B367AB"/>
    <w:rsid w:val="00B37399"/>
    <w:rsid w:val="00B375EA"/>
    <w:rsid w:val="00B42A6A"/>
    <w:rsid w:val="00B51D0D"/>
    <w:rsid w:val="00B52F88"/>
    <w:rsid w:val="00B676BB"/>
    <w:rsid w:val="00B721DC"/>
    <w:rsid w:val="00B92016"/>
    <w:rsid w:val="00B923BE"/>
    <w:rsid w:val="00BA1327"/>
    <w:rsid w:val="00BA2AC6"/>
    <w:rsid w:val="00BA68EF"/>
    <w:rsid w:val="00BB0633"/>
    <w:rsid w:val="00BB36D3"/>
    <w:rsid w:val="00BB3B8F"/>
    <w:rsid w:val="00BB408F"/>
    <w:rsid w:val="00BB527C"/>
    <w:rsid w:val="00BB61D2"/>
    <w:rsid w:val="00BE3C4E"/>
    <w:rsid w:val="00BE3CE6"/>
    <w:rsid w:val="00BE40A2"/>
    <w:rsid w:val="00BE429A"/>
    <w:rsid w:val="00BE4E9F"/>
    <w:rsid w:val="00BF196C"/>
    <w:rsid w:val="00BF3141"/>
    <w:rsid w:val="00BF7454"/>
    <w:rsid w:val="00C041FC"/>
    <w:rsid w:val="00C12366"/>
    <w:rsid w:val="00C16694"/>
    <w:rsid w:val="00C47458"/>
    <w:rsid w:val="00C54DFB"/>
    <w:rsid w:val="00C55376"/>
    <w:rsid w:val="00C55896"/>
    <w:rsid w:val="00C60F34"/>
    <w:rsid w:val="00C634F1"/>
    <w:rsid w:val="00C72EDE"/>
    <w:rsid w:val="00C74C9C"/>
    <w:rsid w:val="00C80C6C"/>
    <w:rsid w:val="00C81401"/>
    <w:rsid w:val="00C81B18"/>
    <w:rsid w:val="00C876B7"/>
    <w:rsid w:val="00C91A0C"/>
    <w:rsid w:val="00CA5F9F"/>
    <w:rsid w:val="00CA66DF"/>
    <w:rsid w:val="00CB6468"/>
    <w:rsid w:val="00CB7984"/>
    <w:rsid w:val="00CC0C99"/>
    <w:rsid w:val="00CC288A"/>
    <w:rsid w:val="00CC666F"/>
    <w:rsid w:val="00CE1CB6"/>
    <w:rsid w:val="00CF467B"/>
    <w:rsid w:val="00D048D4"/>
    <w:rsid w:val="00D06A05"/>
    <w:rsid w:val="00D22F45"/>
    <w:rsid w:val="00D2348E"/>
    <w:rsid w:val="00D23C8F"/>
    <w:rsid w:val="00D249B9"/>
    <w:rsid w:val="00D2776D"/>
    <w:rsid w:val="00D27AFB"/>
    <w:rsid w:val="00D5096A"/>
    <w:rsid w:val="00D653DF"/>
    <w:rsid w:val="00D7231B"/>
    <w:rsid w:val="00D7299B"/>
    <w:rsid w:val="00D73E45"/>
    <w:rsid w:val="00D80C21"/>
    <w:rsid w:val="00D90EA5"/>
    <w:rsid w:val="00D9158F"/>
    <w:rsid w:val="00D97BF6"/>
    <w:rsid w:val="00DA0D02"/>
    <w:rsid w:val="00DA57AB"/>
    <w:rsid w:val="00DA7D88"/>
    <w:rsid w:val="00DB1B33"/>
    <w:rsid w:val="00DB4906"/>
    <w:rsid w:val="00DB6EA1"/>
    <w:rsid w:val="00DC58C6"/>
    <w:rsid w:val="00DC6CC7"/>
    <w:rsid w:val="00DC6FCA"/>
    <w:rsid w:val="00DD641A"/>
    <w:rsid w:val="00E12775"/>
    <w:rsid w:val="00E151D6"/>
    <w:rsid w:val="00E26E61"/>
    <w:rsid w:val="00E27B1B"/>
    <w:rsid w:val="00E30BFB"/>
    <w:rsid w:val="00E40A97"/>
    <w:rsid w:val="00E415DF"/>
    <w:rsid w:val="00E4547A"/>
    <w:rsid w:val="00E73173"/>
    <w:rsid w:val="00E77501"/>
    <w:rsid w:val="00E801F7"/>
    <w:rsid w:val="00E81BCB"/>
    <w:rsid w:val="00E82948"/>
    <w:rsid w:val="00E87FEF"/>
    <w:rsid w:val="00E907AA"/>
    <w:rsid w:val="00E92688"/>
    <w:rsid w:val="00EA0EF6"/>
    <w:rsid w:val="00EA45FB"/>
    <w:rsid w:val="00EA6E3C"/>
    <w:rsid w:val="00EB35BD"/>
    <w:rsid w:val="00EC0B90"/>
    <w:rsid w:val="00EC7959"/>
    <w:rsid w:val="00ED1360"/>
    <w:rsid w:val="00ED74B1"/>
    <w:rsid w:val="00EE1B67"/>
    <w:rsid w:val="00EE2035"/>
    <w:rsid w:val="00EF6AA9"/>
    <w:rsid w:val="00F232EF"/>
    <w:rsid w:val="00F30FF9"/>
    <w:rsid w:val="00F32C26"/>
    <w:rsid w:val="00F336C7"/>
    <w:rsid w:val="00F37352"/>
    <w:rsid w:val="00F40051"/>
    <w:rsid w:val="00F45FFC"/>
    <w:rsid w:val="00F46439"/>
    <w:rsid w:val="00F57615"/>
    <w:rsid w:val="00F829FD"/>
    <w:rsid w:val="00FA307E"/>
    <w:rsid w:val="00FA5861"/>
    <w:rsid w:val="00FB230B"/>
    <w:rsid w:val="00FB71A6"/>
    <w:rsid w:val="00FC22BB"/>
    <w:rsid w:val="00FD2171"/>
    <w:rsid w:val="00FD7FE7"/>
    <w:rsid w:val="00FE6985"/>
    <w:rsid w:val="00FF2E17"/>
    <w:rsid w:val="0528016C"/>
    <w:rsid w:val="10620376"/>
    <w:rsid w:val="11883E19"/>
    <w:rsid w:val="11CC2ACE"/>
    <w:rsid w:val="1AF72D93"/>
    <w:rsid w:val="1D7568C8"/>
    <w:rsid w:val="1FD12E07"/>
    <w:rsid w:val="26A307A4"/>
    <w:rsid w:val="2EA0406C"/>
    <w:rsid w:val="30DC7764"/>
    <w:rsid w:val="363B5C17"/>
    <w:rsid w:val="3A2F2421"/>
    <w:rsid w:val="3C4D19A5"/>
    <w:rsid w:val="3C9967A2"/>
    <w:rsid w:val="3C9C5390"/>
    <w:rsid w:val="3D361311"/>
    <w:rsid w:val="3D3C1E4C"/>
    <w:rsid w:val="501F24D5"/>
    <w:rsid w:val="53621F4C"/>
    <w:rsid w:val="53A66766"/>
    <w:rsid w:val="5434244F"/>
    <w:rsid w:val="567145BB"/>
    <w:rsid w:val="5C237373"/>
    <w:rsid w:val="5C610178"/>
    <w:rsid w:val="5F170400"/>
    <w:rsid w:val="623C6820"/>
    <w:rsid w:val="64270F68"/>
    <w:rsid w:val="655965EF"/>
    <w:rsid w:val="68532C20"/>
    <w:rsid w:val="6A0028CF"/>
    <w:rsid w:val="749B1192"/>
    <w:rsid w:val="77B2358A"/>
    <w:rsid w:val="7E3002A0"/>
    <w:rsid w:val="7F5375AE"/>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qFormat="1" w:unhideWhenUsed="0" w:uiPriority="34" w:semiHidden="0" w:name="List Paragraph"/>
    <w:lsdException w:qFormat="1" w:unhideWhenUsed="0" w:uiPriority="29" w:semiHidden="0" w:name="Quote"/>
  </w:latentStyles>
  <w:style w:type="paragraph" w:default="1" w:styleId="1">
    <w:name w:val="Normal"/>
    <w:qFormat/>
    <w:uiPriority w:val="0"/>
    <w:pPr>
      <w:widowControl w:val="0"/>
      <w:autoSpaceDE w:val="0"/>
      <w:autoSpaceDN w:val="0"/>
    </w:pPr>
    <w:rPr>
      <w:rFonts w:ascii="Verdana" w:hAnsi="Verdana" w:eastAsia="Verdana" w:cs="Verdana"/>
      <w:sz w:val="22"/>
      <w:szCs w:val="22"/>
      <w:lang w:val="pt-PT" w:eastAsia="en-US" w:bidi="ar-SA"/>
    </w:rPr>
  </w:style>
  <w:style w:type="paragraph" w:styleId="2">
    <w:name w:val="heading 1"/>
    <w:basedOn w:val="1"/>
    <w:next w:val="1"/>
    <w:qFormat/>
    <w:uiPriority w:val="9"/>
    <w:pPr>
      <w:spacing w:before="92" w:line="229" w:lineRule="exact"/>
      <w:ind w:left="301"/>
      <w:outlineLvl w:val="0"/>
    </w:pPr>
    <w:rPr>
      <w:rFonts w:ascii="Arial" w:hAnsi="Arial" w:eastAsia="Arial" w:cs="Arial"/>
      <w:sz w:val="20"/>
      <w:szCs w:val="20"/>
    </w:rPr>
  </w:style>
  <w:style w:type="paragraph" w:styleId="3">
    <w:name w:val="heading 2"/>
    <w:basedOn w:val="1"/>
    <w:next w:val="1"/>
    <w:unhideWhenUsed/>
    <w:qFormat/>
    <w:uiPriority w:val="9"/>
    <w:pPr>
      <w:ind w:left="301"/>
      <w:outlineLvl w:val="1"/>
    </w:pPr>
    <w:rPr>
      <w:b/>
      <w:bCs/>
      <w:sz w:val="18"/>
      <w:szCs w:val="18"/>
      <w:u w:val="single" w:color="000000"/>
    </w:rPr>
  </w:style>
  <w:style w:type="paragraph" w:styleId="4">
    <w:name w:val="heading 8"/>
    <w:basedOn w:val="1"/>
    <w:next w:val="1"/>
    <w:link w:val="24"/>
    <w:unhideWhenUsed/>
    <w:qFormat/>
    <w:uiPriority w:val="0"/>
    <w:pPr>
      <w:widowControl/>
      <w:autoSpaceDE/>
      <w:autoSpaceDN/>
      <w:spacing w:before="240" w:after="60"/>
      <w:outlineLvl w:val="7"/>
    </w:pPr>
    <w:rPr>
      <w:rFonts w:ascii="Calibri" w:hAnsi="Calibri" w:eastAsia="Times New Roman" w:cs="Times New Roman"/>
      <w:i/>
      <w:iCs/>
      <w:sz w:val="24"/>
      <w:szCs w:val="24"/>
      <w:lang w:val="pt-BR" w:eastAsia="pt-BR"/>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character" w:styleId="7">
    <w:name w:val="annotation reference"/>
    <w:basedOn w:val="5"/>
    <w:unhideWhenUsed/>
    <w:qFormat/>
    <w:uiPriority w:val="0"/>
    <w:rPr>
      <w:sz w:val="16"/>
      <w:szCs w:val="16"/>
    </w:rPr>
  </w:style>
  <w:style w:type="character" w:styleId="8">
    <w:name w:val="FollowedHyperlink"/>
    <w:basedOn w:val="5"/>
    <w:semiHidden/>
    <w:unhideWhenUsed/>
    <w:qFormat/>
    <w:uiPriority w:val="99"/>
    <w:rPr>
      <w:color w:val="800080" w:themeColor="followedHyperlink"/>
      <w:u w:val="single"/>
      <w14:textFill>
        <w14:solidFill>
          <w14:schemeClr w14:val="folHlink"/>
        </w14:solidFill>
      </w14:textFill>
    </w:rPr>
  </w:style>
  <w:style w:type="character" w:styleId="9">
    <w:name w:val="Hyperlink"/>
    <w:basedOn w:val="5"/>
    <w:unhideWhenUsed/>
    <w:qFormat/>
    <w:uiPriority w:val="99"/>
    <w:rPr>
      <w:color w:val="0000FF"/>
      <w:u w:val="single"/>
    </w:rPr>
  </w:style>
  <w:style w:type="paragraph" w:styleId="10">
    <w:name w:val="Body Text"/>
    <w:basedOn w:val="1"/>
    <w:qFormat/>
    <w:uiPriority w:val="1"/>
    <w:rPr>
      <w:sz w:val="18"/>
      <w:szCs w:val="18"/>
    </w:rPr>
  </w:style>
  <w:style w:type="paragraph" w:styleId="11">
    <w:name w:val="annotation text"/>
    <w:basedOn w:val="1"/>
    <w:link w:val="49"/>
    <w:unhideWhenUsed/>
    <w:qFormat/>
    <w:uiPriority w:val="99"/>
    <w:pPr>
      <w:widowControl/>
      <w:autoSpaceDE/>
      <w:autoSpaceDN/>
    </w:pPr>
    <w:rPr>
      <w:rFonts w:ascii="Ecofont_Spranq_eco_Sans" w:hAnsi="Ecofont_Spranq_eco_Sans" w:cs="Tahoma" w:eastAsiaTheme="minorEastAsia"/>
      <w:sz w:val="20"/>
      <w:szCs w:val="20"/>
      <w:lang w:val="pt-BR" w:eastAsia="pt-BR"/>
    </w:rPr>
  </w:style>
  <w:style w:type="paragraph" w:styleId="12">
    <w:name w:val="Title"/>
    <w:basedOn w:val="1"/>
    <w:qFormat/>
    <w:uiPriority w:val="10"/>
    <w:pPr>
      <w:spacing w:before="30"/>
      <w:ind w:left="20"/>
    </w:pPr>
    <w:rPr>
      <w:rFonts w:ascii="Arial" w:hAnsi="Arial" w:eastAsia="Arial" w:cs="Arial"/>
    </w:rPr>
  </w:style>
  <w:style w:type="paragraph" w:styleId="13">
    <w:name w:val="Normal (Web)"/>
    <w:basedOn w:val="1"/>
    <w:qFormat/>
    <w:uiPriority w:val="99"/>
    <w:pPr>
      <w:widowControl/>
      <w:autoSpaceDE/>
      <w:autoSpaceDN/>
      <w:spacing w:before="100" w:beforeAutospacing="1" w:after="100" w:afterAutospacing="1"/>
    </w:pPr>
    <w:rPr>
      <w:rFonts w:ascii="Times New Roman" w:hAnsi="Times New Roman" w:eastAsia="Times New Roman" w:cs="Times New Roman"/>
      <w:sz w:val="24"/>
      <w:szCs w:val="24"/>
      <w:lang w:val="pt-BR" w:eastAsia="pt-BR"/>
    </w:rPr>
  </w:style>
  <w:style w:type="paragraph" w:styleId="14">
    <w:name w:val="header"/>
    <w:basedOn w:val="1"/>
    <w:link w:val="21"/>
    <w:unhideWhenUsed/>
    <w:qFormat/>
    <w:uiPriority w:val="0"/>
    <w:pPr>
      <w:tabs>
        <w:tab w:val="center" w:pos="4252"/>
        <w:tab w:val="right" w:pos="8504"/>
      </w:tabs>
    </w:pPr>
  </w:style>
  <w:style w:type="paragraph" w:styleId="15">
    <w:name w:val="footer"/>
    <w:basedOn w:val="1"/>
    <w:link w:val="22"/>
    <w:unhideWhenUsed/>
    <w:qFormat/>
    <w:uiPriority w:val="99"/>
    <w:pPr>
      <w:tabs>
        <w:tab w:val="center" w:pos="4252"/>
        <w:tab w:val="right" w:pos="8504"/>
      </w:tabs>
    </w:pPr>
  </w:style>
  <w:style w:type="paragraph" w:styleId="16">
    <w:name w:val="Balloon Text"/>
    <w:basedOn w:val="1"/>
    <w:link w:val="36"/>
    <w:semiHidden/>
    <w:unhideWhenUsed/>
    <w:qFormat/>
    <w:uiPriority w:val="99"/>
    <w:rPr>
      <w:rFonts w:ascii="Segoe UI" w:hAnsi="Segoe UI" w:cs="Segoe UI"/>
      <w:sz w:val="18"/>
      <w:szCs w:val="18"/>
    </w:rPr>
  </w:style>
  <w:style w:type="table" w:styleId="17">
    <w:name w:val="Table Grid"/>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
    <w:name w:val="Table Normal"/>
    <w:semiHidden/>
    <w:unhideWhenUsed/>
    <w:qFormat/>
    <w:uiPriority w:val="2"/>
    <w:tblPr>
      <w:tblCellMar>
        <w:top w:w="0" w:type="dxa"/>
        <w:left w:w="0" w:type="dxa"/>
        <w:bottom w:w="0" w:type="dxa"/>
        <w:right w:w="0" w:type="dxa"/>
      </w:tblCellMar>
    </w:tblPr>
  </w:style>
  <w:style w:type="paragraph" w:styleId="19">
    <w:name w:val="List Paragraph"/>
    <w:basedOn w:val="1"/>
    <w:link w:val="55"/>
    <w:qFormat/>
    <w:uiPriority w:val="34"/>
    <w:pPr>
      <w:spacing w:before="121"/>
      <w:ind w:left="301"/>
    </w:pPr>
  </w:style>
  <w:style w:type="paragraph" w:customStyle="1" w:styleId="20">
    <w:name w:val="Table Paragraph"/>
    <w:basedOn w:val="1"/>
    <w:qFormat/>
    <w:uiPriority w:val="1"/>
  </w:style>
  <w:style w:type="character" w:customStyle="1" w:styleId="21">
    <w:name w:val="Cabeçalho Char"/>
    <w:basedOn w:val="5"/>
    <w:link w:val="14"/>
    <w:qFormat/>
    <w:uiPriority w:val="0"/>
    <w:rPr>
      <w:rFonts w:ascii="Verdana" w:hAnsi="Verdana" w:eastAsia="Verdana" w:cs="Verdana"/>
      <w:lang w:val="pt-PT"/>
    </w:rPr>
  </w:style>
  <w:style w:type="character" w:customStyle="1" w:styleId="22">
    <w:name w:val="Rodapé Char"/>
    <w:basedOn w:val="5"/>
    <w:link w:val="15"/>
    <w:qFormat/>
    <w:uiPriority w:val="99"/>
    <w:rPr>
      <w:rFonts w:ascii="Verdana" w:hAnsi="Verdana" w:eastAsia="Verdana" w:cs="Verdana"/>
      <w:lang w:val="pt-PT"/>
    </w:rPr>
  </w:style>
  <w:style w:type="paragraph" w:styleId="23">
    <w:name w:val="No Spacing"/>
    <w:link w:val="25"/>
    <w:qFormat/>
    <w:uiPriority w:val="1"/>
    <w:rPr>
      <w:rFonts w:ascii="Calibri" w:hAnsi="Calibri" w:eastAsia="Times New Roman" w:cs="Times New Roman"/>
      <w:sz w:val="22"/>
      <w:szCs w:val="22"/>
      <w:lang w:val="pt-BR" w:eastAsia="pt-BR" w:bidi="ar-SA"/>
    </w:rPr>
  </w:style>
  <w:style w:type="character" w:customStyle="1" w:styleId="24">
    <w:name w:val="Título 8 Char"/>
    <w:basedOn w:val="5"/>
    <w:link w:val="4"/>
    <w:qFormat/>
    <w:uiPriority w:val="0"/>
    <w:rPr>
      <w:rFonts w:ascii="Calibri" w:hAnsi="Calibri" w:eastAsia="Times New Roman" w:cs="Times New Roman"/>
      <w:i/>
      <w:iCs/>
      <w:sz w:val="24"/>
      <w:szCs w:val="24"/>
    </w:rPr>
  </w:style>
  <w:style w:type="character" w:customStyle="1" w:styleId="25">
    <w:name w:val="Sem Espaçamento Char"/>
    <w:link w:val="23"/>
    <w:qFormat/>
    <w:uiPriority w:val="1"/>
    <w:rPr>
      <w:rFonts w:ascii="Calibri" w:hAnsi="Calibri" w:eastAsia="Times New Roman" w:cs="Times New Roman"/>
      <w:sz w:val="22"/>
      <w:szCs w:val="22"/>
    </w:rPr>
  </w:style>
  <w:style w:type="paragraph" w:styleId="26">
    <w:name w:val="Quote"/>
    <w:basedOn w:val="1"/>
    <w:next w:val="1"/>
    <w:link w:val="27"/>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ahoma"/>
      <w:i/>
      <w:iCs/>
      <w:color w:val="000000"/>
      <w:sz w:val="20"/>
      <w:szCs w:val="24"/>
      <w:lang w:val="pt-BR"/>
    </w:rPr>
  </w:style>
  <w:style w:type="character" w:customStyle="1" w:styleId="27">
    <w:name w:val="Citação Char"/>
    <w:basedOn w:val="5"/>
    <w:link w:val="26"/>
    <w:qFormat/>
    <w:uiPriority w:val="29"/>
    <w:rPr>
      <w:rFonts w:ascii="Ecofont_Spranq_eco_Sans" w:hAnsi="Ecofont_Spranq_eco_Sans" w:eastAsia="Calibri" w:cs="Tahoma"/>
      <w:i/>
      <w:iCs/>
      <w:color w:val="000000"/>
      <w:szCs w:val="24"/>
      <w:shd w:val="clear" w:color="auto" w:fill="FFFFCC"/>
      <w:lang w:eastAsia="en-US"/>
    </w:rPr>
  </w:style>
  <w:style w:type="paragraph" w:customStyle="1" w:styleId="28">
    <w:name w:val="citação 2"/>
    <w:basedOn w:val="26"/>
    <w:link w:val="29"/>
    <w:qFormat/>
    <w:uiPriority w:val="0"/>
  </w:style>
  <w:style w:type="character" w:customStyle="1" w:styleId="29">
    <w:name w:val="citação 2 Char"/>
    <w:basedOn w:val="27"/>
    <w:link w:val="28"/>
    <w:qFormat/>
    <w:uiPriority w:val="0"/>
    <w:rPr>
      <w:rFonts w:ascii="Ecofont_Spranq_eco_Sans" w:hAnsi="Ecofont_Spranq_eco_Sans" w:eastAsia="Calibri" w:cs="Tahoma"/>
      <w:color w:val="000000"/>
      <w:szCs w:val="24"/>
      <w:shd w:val="clear" w:color="auto" w:fill="FFFFCC"/>
      <w:lang w:eastAsia="en-US"/>
    </w:rPr>
  </w:style>
  <w:style w:type="paragraph" w:customStyle="1" w:styleId="30">
    <w:name w:val="Grade Colorida - Ênfase 11"/>
    <w:basedOn w:val="1"/>
    <w:next w:val="1"/>
    <w:link w:val="31"/>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imes New Roman"/>
      <w:i/>
      <w:iCs/>
      <w:color w:val="000000"/>
      <w:sz w:val="20"/>
      <w:szCs w:val="24"/>
      <w:lang w:val="zh-CN"/>
    </w:rPr>
  </w:style>
  <w:style w:type="character" w:customStyle="1" w:styleId="31">
    <w:name w:val="Grade Colorida - Ênfase 1 Char"/>
    <w:link w:val="30"/>
    <w:qFormat/>
    <w:uiPriority w:val="29"/>
    <w:rPr>
      <w:rFonts w:ascii="Ecofont_Spranq_eco_Sans" w:hAnsi="Ecofont_Spranq_eco_Sans" w:eastAsia="Calibri" w:cs="Times New Roman"/>
      <w:i/>
      <w:iCs/>
      <w:color w:val="000000"/>
      <w:szCs w:val="24"/>
      <w:shd w:val="clear" w:color="auto" w:fill="FFFFCC"/>
      <w:lang w:val="zh-CN" w:eastAsia="en-US"/>
    </w:rPr>
  </w:style>
  <w:style w:type="paragraph" w:customStyle="1" w:styleId="32">
    <w:name w:val="Nivel_01_Titulo"/>
    <w:basedOn w:val="2"/>
    <w:next w:val="1"/>
    <w:link w:val="33"/>
    <w:qFormat/>
    <w:uiPriority w:val="0"/>
    <w:pPr>
      <w:keepNext/>
      <w:keepLines/>
      <w:widowControl/>
      <w:tabs>
        <w:tab w:val="left" w:pos="567"/>
      </w:tabs>
      <w:autoSpaceDE/>
      <w:autoSpaceDN/>
      <w:spacing w:before="240" w:line="240" w:lineRule="auto"/>
      <w:ind w:left="0"/>
    </w:pPr>
    <w:rPr>
      <w:rFonts w:ascii="Ecofont_Spranq_eco_Sans" w:hAnsi="Ecofont_Spranq_eco_Sans" w:eastAsiaTheme="majorEastAsia" w:cstheme="majorBidi"/>
      <w:b/>
      <w:bCs/>
      <w:color w:val="000000"/>
      <w:szCs w:val="28"/>
      <w:lang w:val="pt-BR"/>
    </w:rPr>
  </w:style>
  <w:style w:type="character" w:customStyle="1" w:styleId="33">
    <w:name w:val="Nivel_01_Titulo Char"/>
    <w:basedOn w:val="27"/>
    <w:link w:val="32"/>
    <w:qFormat/>
    <w:uiPriority w:val="0"/>
    <w:rPr>
      <w:rFonts w:ascii="Ecofont_Spranq_eco_Sans" w:hAnsi="Ecofont_Spranq_eco_Sans" w:eastAsiaTheme="majorEastAsia" w:cstheme="majorBidi"/>
      <w:b/>
      <w:bCs/>
      <w:i w:val="0"/>
      <w:iCs w:val="0"/>
      <w:color w:val="000000"/>
      <w:szCs w:val="28"/>
      <w:shd w:val="clear" w:color="auto" w:fill="FFFFCC"/>
      <w:lang w:eastAsia="en-US"/>
    </w:rPr>
  </w:style>
  <w:style w:type="paragraph" w:customStyle="1" w:styleId="34">
    <w:name w:val="Nivel_01"/>
    <w:basedOn w:val="2"/>
    <w:link w:val="35"/>
    <w:qFormat/>
    <w:uiPriority w:val="0"/>
    <w:pPr>
      <w:keepNext/>
      <w:keepLines/>
      <w:widowControl/>
      <w:tabs>
        <w:tab w:val="left" w:pos="567"/>
      </w:tabs>
      <w:autoSpaceDE/>
      <w:autoSpaceDN/>
      <w:spacing w:before="240" w:line="240" w:lineRule="auto"/>
      <w:ind w:left="0"/>
      <w:jc w:val="both"/>
    </w:pPr>
    <w:rPr>
      <w:rFonts w:ascii="Ecofont_Spranq_eco_Sans" w:hAnsi="Ecofont_Spranq_eco_Sans" w:cs="Times New Roman" w:eastAsiaTheme="majorEastAsia"/>
      <w:b/>
      <w:bCs/>
      <w:lang w:val="pt-BR" w:eastAsia="pt-BR"/>
    </w:rPr>
  </w:style>
  <w:style w:type="character" w:customStyle="1" w:styleId="35">
    <w:name w:val="Nivel_01 Char"/>
    <w:basedOn w:val="5"/>
    <w:link w:val="34"/>
    <w:qFormat/>
    <w:uiPriority w:val="0"/>
    <w:rPr>
      <w:rFonts w:ascii="Ecofont_Spranq_eco_Sans" w:hAnsi="Ecofont_Spranq_eco_Sans" w:cs="Times New Roman" w:eastAsiaTheme="majorEastAsia"/>
      <w:b/>
      <w:bCs/>
    </w:rPr>
  </w:style>
  <w:style w:type="character" w:customStyle="1" w:styleId="36">
    <w:name w:val="Texto de balão Char"/>
    <w:basedOn w:val="5"/>
    <w:link w:val="16"/>
    <w:semiHidden/>
    <w:qFormat/>
    <w:uiPriority w:val="99"/>
    <w:rPr>
      <w:rFonts w:ascii="Segoe UI" w:hAnsi="Segoe UI" w:eastAsia="Verdana" w:cs="Segoe UI"/>
      <w:sz w:val="18"/>
      <w:szCs w:val="18"/>
      <w:lang w:val="pt-PT" w:eastAsia="en-US"/>
    </w:rPr>
  </w:style>
  <w:style w:type="paragraph" w:customStyle="1" w:styleId="37">
    <w:name w:val="Parágrafo da Lista1"/>
    <w:basedOn w:val="1"/>
    <w:qFormat/>
    <w:uiPriority w:val="0"/>
    <w:pPr>
      <w:widowControl/>
      <w:suppressAutoHyphens/>
      <w:autoSpaceDE/>
      <w:autoSpaceDN/>
      <w:ind w:left="720"/>
      <w:contextualSpacing/>
    </w:pPr>
    <w:rPr>
      <w:rFonts w:ascii="Ecofont_Spranq_eco_Sans" w:hAnsi="Ecofont_Spranq_eco_Sans" w:eastAsia="Times New Roman" w:cs="Tahoma"/>
      <w:sz w:val="24"/>
      <w:szCs w:val="24"/>
      <w:lang w:val="pt-BR" w:eastAsia="pt-BR"/>
    </w:rPr>
  </w:style>
  <w:style w:type="paragraph" w:customStyle="1" w:styleId="38">
    <w:name w:val="Standard"/>
    <w:qFormat/>
    <w:uiPriority w:val="0"/>
    <w:pPr>
      <w:suppressAutoHyphens/>
      <w:autoSpaceDN w:val="0"/>
      <w:spacing w:after="160" w:line="259" w:lineRule="auto"/>
      <w:textAlignment w:val="baseline"/>
    </w:pPr>
    <w:rPr>
      <w:rFonts w:ascii="Calibri" w:hAnsi="Calibri" w:eastAsia="Calibri" w:cs="Tahoma"/>
      <w:sz w:val="22"/>
      <w:szCs w:val="22"/>
      <w:lang w:val="pt-BR" w:eastAsia="en-US" w:bidi="ar-SA"/>
    </w:rPr>
  </w:style>
  <w:style w:type="paragraph" w:customStyle="1" w:styleId="39">
    <w:name w:val="Parágrafo da Lista2"/>
    <w:basedOn w:val="1"/>
    <w:qFormat/>
    <w:uiPriority w:val="0"/>
    <w:pPr>
      <w:widowControl/>
      <w:suppressAutoHyphens/>
      <w:autoSpaceDE/>
      <w:autoSpaceDN/>
      <w:ind w:left="720"/>
      <w:contextualSpacing/>
    </w:pPr>
    <w:rPr>
      <w:rFonts w:ascii="Ecofont_Spranq_eco_Sans" w:hAnsi="Ecofont_Spranq_eco_Sans" w:eastAsia="Times New Roman" w:cs="Tahoma"/>
      <w:kern w:val="1"/>
      <w:sz w:val="24"/>
      <w:szCs w:val="24"/>
      <w:lang w:val="pt-BR" w:eastAsia="pt-BR"/>
    </w:rPr>
  </w:style>
  <w:style w:type="paragraph" w:customStyle="1" w:styleId="40">
    <w:name w:val="Conteúdo do quadro"/>
    <w:basedOn w:val="1"/>
    <w:qFormat/>
    <w:uiPriority w:val="0"/>
    <w:pPr>
      <w:widowControl/>
      <w:suppressAutoHyphens/>
      <w:autoSpaceDE/>
      <w:autoSpaceDN/>
    </w:pPr>
    <w:rPr>
      <w:rFonts w:ascii="Ecofont_Spranq_eco_Sans" w:hAnsi="Ecofont_Spranq_eco_Sans" w:eastAsia="Times New Roman" w:cs="Tahoma"/>
      <w:kern w:val="1"/>
      <w:sz w:val="24"/>
      <w:szCs w:val="24"/>
      <w:lang w:val="pt-BR" w:eastAsia="pt-BR"/>
    </w:rPr>
  </w:style>
  <w:style w:type="table" w:customStyle="1" w:styleId="41">
    <w:name w:val="Tabela com grade1"/>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2">
    <w:name w:val="Unresolved Mention"/>
    <w:basedOn w:val="5"/>
    <w:semiHidden/>
    <w:unhideWhenUsed/>
    <w:qFormat/>
    <w:uiPriority w:val="99"/>
    <w:rPr>
      <w:color w:val="605E5C"/>
      <w:shd w:val="clear" w:color="auto" w:fill="E1DFDD"/>
    </w:rPr>
  </w:style>
  <w:style w:type="paragraph" w:customStyle="1" w:styleId="43">
    <w:name w:val="Nivel1"/>
    <w:basedOn w:val="2"/>
    <w:next w:val="1"/>
    <w:qFormat/>
    <w:uiPriority w:val="0"/>
    <w:pPr>
      <w:keepNext/>
      <w:keepLines/>
      <w:widowControl/>
      <w:numPr>
        <w:ilvl w:val="0"/>
        <w:numId w:val="1"/>
      </w:numPr>
      <w:autoSpaceDE/>
      <w:autoSpaceDN/>
      <w:spacing w:before="480" w:after="120" w:line="276" w:lineRule="auto"/>
      <w:jc w:val="both"/>
    </w:pPr>
    <w:rPr>
      <w:rFonts w:eastAsiaTheme="majorEastAsia"/>
      <w:b/>
      <w:color w:val="000000"/>
      <w:sz w:val="32"/>
      <w:szCs w:val="32"/>
      <w:lang w:val="pt-BR"/>
    </w:rPr>
  </w:style>
  <w:style w:type="paragraph" w:customStyle="1" w:styleId="44">
    <w:name w:val="Nivel 01"/>
    <w:basedOn w:val="2"/>
    <w:next w:val="1"/>
    <w:link w:val="57"/>
    <w:qFormat/>
    <w:uiPriority w:val="0"/>
    <w:pPr>
      <w:keepNext/>
      <w:keepLines/>
      <w:widowControl/>
      <w:tabs>
        <w:tab w:val="left" w:pos="567"/>
      </w:tabs>
      <w:autoSpaceDE/>
      <w:autoSpaceDN/>
      <w:spacing w:before="240" w:line="240" w:lineRule="auto"/>
      <w:ind w:left="0"/>
      <w:jc w:val="both"/>
    </w:pPr>
    <w:rPr>
      <w:rFonts w:eastAsiaTheme="majorEastAsia"/>
      <w:b/>
      <w:bCs/>
      <w:lang w:val="pt-BR" w:eastAsia="pt-BR"/>
    </w:rPr>
  </w:style>
  <w:style w:type="paragraph" w:customStyle="1" w:styleId="45">
    <w:name w:val="Nivel 2"/>
    <w:basedOn w:val="1"/>
    <w:link w:val="54"/>
    <w:qFormat/>
    <w:uiPriority w:val="0"/>
    <w:pPr>
      <w:widowControl/>
      <w:autoSpaceDE/>
      <w:autoSpaceDN/>
      <w:spacing w:before="120" w:after="120" w:line="276" w:lineRule="auto"/>
      <w:jc w:val="both"/>
    </w:pPr>
    <w:rPr>
      <w:rFonts w:ascii="Arial" w:hAnsi="Arial" w:cs="Arial" w:eastAsiaTheme="minorEastAsia"/>
      <w:color w:val="000000"/>
      <w:sz w:val="20"/>
      <w:szCs w:val="20"/>
      <w:lang w:val="pt-BR" w:eastAsia="pt-BR"/>
    </w:rPr>
  </w:style>
  <w:style w:type="paragraph" w:customStyle="1" w:styleId="46">
    <w:name w:val="Nivel 3"/>
    <w:basedOn w:val="1"/>
    <w:link w:val="56"/>
    <w:qFormat/>
    <w:uiPriority w:val="0"/>
    <w:pPr>
      <w:widowControl/>
      <w:autoSpaceDE/>
      <w:autoSpaceDN/>
      <w:spacing w:before="120" w:after="120" w:line="276" w:lineRule="auto"/>
      <w:ind w:left="284"/>
      <w:jc w:val="both"/>
    </w:pPr>
    <w:rPr>
      <w:rFonts w:ascii="Arial" w:hAnsi="Arial" w:cs="Arial" w:eastAsiaTheme="minorEastAsia"/>
      <w:color w:val="000000"/>
      <w:sz w:val="20"/>
      <w:szCs w:val="20"/>
      <w:lang w:val="pt-BR" w:eastAsia="pt-BR"/>
    </w:rPr>
  </w:style>
  <w:style w:type="paragraph" w:customStyle="1" w:styleId="47">
    <w:name w:val="Nivel 4"/>
    <w:basedOn w:val="46"/>
    <w:link w:val="60"/>
    <w:qFormat/>
    <w:uiPriority w:val="0"/>
    <w:pPr>
      <w:ind w:left="567"/>
    </w:pPr>
    <w:rPr>
      <w:color w:val="auto"/>
    </w:rPr>
  </w:style>
  <w:style w:type="paragraph" w:customStyle="1" w:styleId="48">
    <w:name w:val="Nivel 5"/>
    <w:basedOn w:val="47"/>
    <w:qFormat/>
    <w:uiPriority w:val="0"/>
    <w:pPr>
      <w:ind w:left="1276"/>
    </w:pPr>
  </w:style>
  <w:style w:type="character" w:customStyle="1" w:styleId="49">
    <w:name w:val="Texto de comentário Char"/>
    <w:basedOn w:val="5"/>
    <w:link w:val="11"/>
    <w:qFormat/>
    <w:uiPriority w:val="99"/>
    <w:rPr>
      <w:rFonts w:ascii="Ecofont_Spranq_eco_Sans" w:hAnsi="Ecofont_Spranq_eco_Sans" w:cs="Tahoma" w:eastAsiaTheme="minorEastAsia"/>
    </w:rPr>
  </w:style>
  <w:style w:type="paragraph" w:customStyle="1" w:styleId="50">
    <w:name w:val="Nível 2 -Red"/>
    <w:basedOn w:val="45"/>
    <w:link w:val="51"/>
    <w:qFormat/>
    <w:uiPriority w:val="0"/>
    <w:pPr>
      <w:numPr>
        <w:ilvl w:val="1"/>
        <w:numId w:val="2"/>
      </w:numPr>
    </w:pPr>
    <w:rPr>
      <w:i/>
      <w:iCs/>
      <w:color w:val="FF0000"/>
    </w:rPr>
  </w:style>
  <w:style w:type="character" w:customStyle="1" w:styleId="51">
    <w:name w:val="Nível 2 -Red Char"/>
    <w:basedOn w:val="5"/>
    <w:link w:val="50"/>
    <w:qFormat/>
    <w:uiPriority w:val="0"/>
    <w:rPr>
      <w:rFonts w:ascii="Arial" w:hAnsi="Arial" w:cs="Arial" w:eastAsiaTheme="minorEastAsia"/>
      <w:i/>
      <w:iCs/>
      <w:color w:val="FF0000"/>
    </w:rPr>
  </w:style>
  <w:style w:type="paragraph" w:customStyle="1" w:styleId="52">
    <w:name w:val="ou"/>
    <w:basedOn w:val="19"/>
    <w:link w:val="53"/>
    <w:qFormat/>
    <w:uiPriority w:val="0"/>
    <w:pPr>
      <w:widowControl/>
      <w:autoSpaceDE/>
      <w:autoSpaceDN/>
      <w:spacing w:before="60" w:after="60" w:line="259" w:lineRule="auto"/>
      <w:ind w:left="0"/>
      <w:jc w:val="center"/>
    </w:pPr>
    <w:rPr>
      <w:rFonts w:ascii="Arial" w:hAnsi="Arial" w:cs="Arial" w:eastAsiaTheme="minorHAnsi"/>
      <w:b/>
      <w:bCs/>
      <w:i/>
      <w:iCs/>
      <w:color w:val="FF0000"/>
      <w:sz w:val="24"/>
      <w:szCs w:val="24"/>
      <w:u w:val="single"/>
      <w:lang w:val="pt-BR" w:eastAsia="pt-BR"/>
    </w:rPr>
  </w:style>
  <w:style w:type="character" w:customStyle="1" w:styleId="53">
    <w:name w:val="ou Char"/>
    <w:basedOn w:val="5"/>
    <w:link w:val="52"/>
    <w:qFormat/>
    <w:uiPriority w:val="0"/>
    <w:rPr>
      <w:rFonts w:ascii="Arial" w:hAnsi="Arial" w:cs="Arial"/>
      <w:b/>
      <w:bCs/>
      <w:i/>
      <w:iCs/>
      <w:color w:val="FF0000"/>
      <w:sz w:val="24"/>
      <w:szCs w:val="24"/>
      <w:u w:val="single"/>
    </w:rPr>
  </w:style>
  <w:style w:type="character" w:customStyle="1" w:styleId="54">
    <w:name w:val="Nivel 2 Char"/>
    <w:basedOn w:val="5"/>
    <w:link w:val="45"/>
    <w:qFormat/>
    <w:locked/>
    <w:uiPriority w:val="0"/>
    <w:rPr>
      <w:rFonts w:ascii="Arial" w:hAnsi="Arial" w:cs="Arial" w:eastAsiaTheme="minorEastAsia"/>
      <w:color w:val="000000"/>
    </w:rPr>
  </w:style>
  <w:style w:type="character" w:customStyle="1" w:styleId="55">
    <w:name w:val="Parágrafo da Lista Char"/>
    <w:basedOn w:val="5"/>
    <w:link w:val="19"/>
    <w:qFormat/>
    <w:uiPriority w:val="34"/>
    <w:rPr>
      <w:rFonts w:ascii="Verdana" w:hAnsi="Verdana" w:eastAsia="Verdana" w:cs="Verdana"/>
      <w:sz w:val="22"/>
      <w:szCs w:val="22"/>
      <w:lang w:val="pt-PT" w:eastAsia="en-US"/>
    </w:rPr>
  </w:style>
  <w:style w:type="character" w:customStyle="1" w:styleId="56">
    <w:name w:val="Nivel 3 Char"/>
    <w:basedOn w:val="5"/>
    <w:link w:val="46"/>
    <w:qFormat/>
    <w:uiPriority w:val="0"/>
    <w:rPr>
      <w:rFonts w:ascii="Arial" w:hAnsi="Arial" w:cs="Arial" w:eastAsiaTheme="minorEastAsia"/>
      <w:color w:val="000000"/>
    </w:rPr>
  </w:style>
  <w:style w:type="character" w:customStyle="1" w:styleId="57">
    <w:name w:val="Nivel 01 Char"/>
    <w:basedOn w:val="5"/>
    <w:link w:val="44"/>
    <w:qFormat/>
    <w:uiPriority w:val="0"/>
    <w:rPr>
      <w:rFonts w:ascii="Arial" w:hAnsi="Arial" w:cs="Arial" w:eastAsiaTheme="majorEastAsia"/>
      <w:b/>
      <w:bCs/>
    </w:rPr>
  </w:style>
  <w:style w:type="character" w:customStyle="1" w:styleId="58">
    <w:name w:val="Nível 3-R Char"/>
    <w:basedOn w:val="5"/>
    <w:link w:val="59"/>
    <w:qFormat/>
    <w:locked/>
    <w:uiPriority w:val="0"/>
    <w:rPr>
      <w:rFonts w:ascii="Arial" w:hAnsi="Arial" w:cs="Arial"/>
      <w:i/>
      <w:iCs/>
      <w:color w:val="FF0000"/>
    </w:rPr>
  </w:style>
  <w:style w:type="paragraph" w:customStyle="1" w:styleId="59">
    <w:name w:val="Nível 3-R"/>
    <w:basedOn w:val="46"/>
    <w:link w:val="58"/>
    <w:qFormat/>
    <w:uiPriority w:val="0"/>
    <w:pPr>
      <w:numPr>
        <w:ilvl w:val="2"/>
        <w:numId w:val="2"/>
      </w:numPr>
    </w:pPr>
    <w:rPr>
      <w:rFonts w:eastAsiaTheme="minorHAnsi"/>
      <w:i/>
      <w:iCs/>
      <w:color w:val="FF0000"/>
    </w:rPr>
  </w:style>
  <w:style w:type="character" w:customStyle="1" w:styleId="60">
    <w:name w:val="Nivel 4 Char"/>
    <w:basedOn w:val="5"/>
    <w:link w:val="47"/>
    <w:qFormat/>
    <w:locked/>
    <w:uiPriority w:val="0"/>
    <w:rPr>
      <w:rFonts w:ascii="Arial" w:hAnsi="Arial" w:cs="Arial" w:eastAsiaTheme="minorEastAsi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621F75-4E71-43BD-9343-F74090436DF0}">
  <ds:schemaRefs/>
</ds:datastoreItem>
</file>

<file path=docProps/app.xml><?xml version="1.0" encoding="utf-8"?>
<Properties xmlns="http://schemas.openxmlformats.org/officeDocument/2006/extended-properties" xmlns:vt="http://schemas.openxmlformats.org/officeDocument/2006/docPropsVTypes">
  <Template>Normal</Template>
  <Pages>13</Pages>
  <Words>5363</Words>
  <Characters>28963</Characters>
  <Lines>241</Lines>
  <Paragraphs>68</Paragraphs>
  <TotalTime>3</TotalTime>
  <ScaleCrop>false</ScaleCrop>
  <LinksUpToDate>false</LinksUpToDate>
  <CharactersWithSpaces>34258</CharactersWithSpaces>
  <Application>WPS Office_11.2.0.10443_F1E327BC-269C-435d-A152-05C5408002CA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2023-08-18T18:10:00Z</dcterms:created>
  <dc:creator>Jonathan Chaves</dc:creator>
  <cp:lastModifiedBy>izabella.nogueira</cp:lastModifiedBy>
  <cp:lastPrinted>2023-08-22T17:19:00Z</cp:lastPrinted>
  <dcterms:modified xsi:type="dcterms:W3CDTF">2026-07-14T18:07:44Z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2020-06-24T00:00:00Z</vt:filetime>
  </property>
  <property fmtid="{D5CDD505-2E9C-101B-9397-08002B2CF9AE}" pid="3" name="Creator">
    <vt:lpwstr>PDFium</vt:lpwstr>
  </property>
  <property fmtid="{D5CDD505-2E9C-101B-9397-08002B2CF9AE}" pid="4" name="LastSaved">
    <vt:filetime>2020-06-24T00:00:00Z</vt:filetime>
  </property>
  <property fmtid="{D5CDD505-2E9C-101B-9397-08002B2CF9AE}" pid="5" name="KSOProductBuildVer">
    <vt:lpwstr>1046-11.2.0.10443</vt:lpwstr>
  </property>
  <property fmtid="{D5CDD505-2E9C-101B-9397-08002B2CF9AE}" pid="6" name="ICV">
    <vt:lpwstr>AA5E36BE2C9D4DA8923CD79FAA21EA6C_12</vt:lpwstr>
  </property>
</Properties>
</file>